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13" w:rsidRDefault="00F47313" w:rsidP="00F47313">
      <w:pPr>
        <w:jc w:val="center"/>
        <w:rPr>
          <w:b/>
          <w:bCs/>
          <w:sz w:val="28"/>
          <w:szCs w:val="28"/>
        </w:rPr>
      </w:pPr>
      <w:r w:rsidRPr="00F47313">
        <w:rPr>
          <w:b/>
          <w:bCs/>
          <w:sz w:val="28"/>
          <w:szCs w:val="28"/>
        </w:rPr>
        <w:t>Раскрытие эмитентом консолидированной финансовой отчетности</w:t>
      </w:r>
    </w:p>
    <w:p w:rsidR="00F47313" w:rsidRPr="00F47313" w:rsidRDefault="00F47313" w:rsidP="00F47313">
      <w:pPr>
        <w:jc w:val="center"/>
        <w:rPr>
          <w:sz w:val="28"/>
          <w:szCs w:val="28"/>
        </w:rPr>
      </w:pPr>
    </w:p>
    <w:tbl>
      <w:tblPr>
        <w:tblW w:w="103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90"/>
        <w:gridCol w:w="5386"/>
      </w:tblGrid>
      <w:tr w:rsidR="00A13C5C" w:rsidRPr="00917A69" w:rsidTr="00A93B06">
        <w:tc>
          <w:tcPr>
            <w:tcW w:w="10376" w:type="dxa"/>
            <w:gridSpan w:val="2"/>
          </w:tcPr>
          <w:p w:rsidR="00A13C5C" w:rsidRPr="00917A69" w:rsidRDefault="00A13C5C">
            <w:pPr>
              <w:jc w:val="center"/>
              <w:rPr>
                <w:sz w:val="24"/>
                <w:szCs w:val="24"/>
              </w:rPr>
            </w:pPr>
            <w:r w:rsidRPr="00917A69">
              <w:rPr>
                <w:sz w:val="24"/>
                <w:szCs w:val="24"/>
              </w:rPr>
              <w:t>1. Общие сведения</w:t>
            </w:r>
          </w:p>
        </w:tc>
      </w:tr>
      <w:tr w:rsidR="00BE3D8E" w:rsidRPr="00917A69" w:rsidTr="00A93B06">
        <w:tc>
          <w:tcPr>
            <w:tcW w:w="4990" w:type="dxa"/>
          </w:tcPr>
          <w:p w:rsidR="00BE3D8E" w:rsidRPr="00917A69" w:rsidRDefault="00BE3D8E">
            <w:pPr>
              <w:ind w:left="85" w:right="85"/>
              <w:jc w:val="both"/>
              <w:rPr>
                <w:sz w:val="24"/>
                <w:szCs w:val="24"/>
              </w:rPr>
            </w:pPr>
            <w:r w:rsidRPr="00917A69">
              <w:rPr>
                <w:sz w:val="24"/>
                <w:szCs w:val="24"/>
              </w:rPr>
              <w:t>1.1. Полное фирменное наименование эмитента (для некоммерческой организации – наименование)</w:t>
            </w:r>
          </w:p>
        </w:tc>
        <w:tc>
          <w:tcPr>
            <w:tcW w:w="5386" w:type="dxa"/>
          </w:tcPr>
          <w:p w:rsidR="00BE3D8E" w:rsidRPr="00917A69" w:rsidRDefault="00B84DDC" w:rsidP="00212E5F">
            <w:pPr>
              <w:ind w:left="85" w:right="85"/>
              <w:jc w:val="both"/>
              <w:rPr>
                <w:sz w:val="24"/>
                <w:szCs w:val="24"/>
              </w:rPr>
            </w:pPr>
            <w:r>
              <w:rPr>
                <w:sz w:val="24"/>
                <w:szCs w:val="24"/>
              </w:rPr>
              <w:t>Публичное</w:t>
            </w:r>
            <w:r w:rsidR="00BE3D8E" w:rsidRPr="00917A69">
              <w:rPr>
                <w:sz w:val="24"/>
                <w:szCs w:val="24"/>
              </w:rPr>
              <w:t xml:space="preserve"> акционерное общество энергетики и электрификации «Самараэнерго»</w:t>
            </w:r>
          </w:p>
        </w:tc>
      </w:tr>
      <w:tr w:rsidR="00BE3D8E" w:rsidRPr="00917A69" w:rsidTr="00A93B06">
        <w:tc>
          <w:tcPr>
            <w:tcW w:w="4990" w:type="dxa"/>
          </w:tcPr>
          <w:p w:rsidR="00BE3D8E" w:rsidRPr="00917A69" w:rsidRDefault="00BE3D8E">
            <w:pPr>
              <w:ind w:left="85" w:right="85"/>
              <w:jc w:val="both"/>
              <w:rPr>
                <w:sz w:val="24"/>
                <w:szCs w:val="24"/>
              </w:rPr>
            </w:pPr>
            <w:r w:rsidRPr="00917A69">
              <w:rPr>
                <w:sz w:val="24"/>
                <w:szCs w:val="24"/>
              </w:rPr>
              <w:t>1.2. Сокращенное фирменное наименование эмитента</w:t>
            </w:r>
          </w:p>
        </w:tc>
        <w:tc>
          <w:tcPr>
            <w:tcW w:w="5386" w:type="dxa"/>
          </w:tcPr>
          <w:p w:rsidR="00BE3D8E" w:rsidRPr="00917A69" w:rsidRDefault="00B84DDC" w:rsidP="00212E5F">
            <w:pPr>
              <w:ind w:left="85" w:right="85"/>
              <w:jc w:val="both"/>
              <w:rPr>
                <w:sz w:val="24"/>
                <w:szCs w:val="24"/>
              </w:rPr>
            </w:pPr>
            <w:r>
              <w:rPr>
                <w:sz w:val="24"/>
                <w:szCs w:val="24"/>
              </w:rPr>
              <w:t>П</w:t>
            </w:r>
            <w:r w:rsidR="00BE3D8E" w:rsidRPr="00917A69">
              <w:rPr>
                <w:sz w:val="24"/>
                <w:szCs w:val="24"/>
              </w:rPr>
              <w:t>АО «Самараэнерго»</w:t>
            </w:r>
          </w:p>
        </w:tc>
      </w:tr>
      <w:tr w:rsidR="00BE3D8E" w:rsidRPr="00917A69" w:rsidTr="00A93B06">
        <w:tc>
          <w:tcPr>
            <w:tcW w:w="4990" w:type="dxa"/>
          </w:tcPr>
          <w:p w:rsidR="00BE3D8E" w:rsidRPr="00917A69" w:rsidRDefault="00BE3D8E">
            <w:pPr>
              <w:ind w:left="85" w:right="85"/>
              <w:jc w:val="both"/>
              <w:rPr>
                <w:sz w:val="24"/>
                <w:szCs w:val="24"/>
              </w:rPr>
            </w:pPr>
            <w:r w:rsidRPr="00917A69">
              <w:rPr>
                <w:sz w:val="24"/>
                <w:szCs w:val="24"/>
              </w:rPr>
              <w:t>1.3. Место нахождения эмитента</w:t>
            </w:r>
          </w:p>
        </w:tc>
        <w:tc>
          <w:tcPr>
            <w:tcW w:w="5386" w:type="dxa"/>
          </w:tcPr>
          <w:p w:rsidR="00BE3D8E" w:rsidRPr="00917A69" w:rsidRDefault="001140B7" w:rsidP="00212E5F">
            <w:pPr>
              <w:ind w:left="85" w:right="85"/>
              <w:jc w:val="both"/>
              <w:rPr>
                <w:sz w:val="24"/>
                <w:szCs w:val="24"/>
              </w:rPr>
            </w:pPr>
            <w:r w:rsidRPr="00917A69">
              <w:rPr>
                <w:sz w:val="24"/>
                <w:szCs w:val="24"/>
              </w:rPr>
              <w:t>443079, г. Самара, проезд имени Георгия Митирева, 9</w:t>
            </w:r>
          </w:p>
        </w:tc>
      </w:tr>
      <w:tr w:rsidR="00BE3D8E" w:rsidRPr="00917A69" w:rsidTr="00A93B06">
        <w:tc>
          <w:tcPr>
            <w:tcW w:w="4990" w:type="dxa"/>
          </w:tcPr>
          <w:p w:rsidR="00BE3D8E" w:rsidRPr="00917A69" w:rsidRDefault="00BE3D8E">
            <w:pPr>
              <w:ind w:left="85" w:right="85"/>
              <w:jc w:val="both"/>
              <w:rPr>
                <w:sz w:val="24"/>
                <w:szCs w:val="24"/>
              </w:rPr>
            </w:pPr>
            <w:r w:rsidRPr="00917A69">
              <w:rPr>
                <w:sz w:val="24"/>
                <w:szCs w:val="24"/>
              </w:rPr>
              <w:t>1.4. ОГРН эмитента</w:t>
            </w:r>
          </w:p>
        </w:tc>
        <w:tc>
          <w:tcPr>
            <w:tcW w:w="5386" w:type="dxa"/>
          </w:tcPr>
          <w:p w:rsidR="00BE3D8E" w:rsidRPr="00917A69" w:rsidRDefault="00BE3D8E" w:rsidP="00212E5F">
            <w:pPr>
              <w:ind w:left="85" w:right="85"/>
              <w:jc w:val="both"/>
              <w:rPr>
                <w:sz w:val="24"/>
                <w:szCs w:val="24"/>
              </w:rPr>
            </w:pPr>
            <w:r w:rsidRPr="00917A69">
              <w:rPr>
                <w:sz w:val="24"/>
                <w:szCs w:val="24"/>
              </w:rPr>
              <w:t>1026300956131</w:t>
            </w:r>
          </w:p>
        </w:tc>
      </w:tr>
      <w:tr w:rsidR="00BE3D8E" w:rsidRPr="00917A69" w:rsidTr="00A93B06">
        <w:tc>
          <w:tcPr>
            <w:tcW w:w="4990" w:type="dxa"/>
          </w:tcPr>
          <w:p w:rsidR="00BE3D8E" w:rsidRPr="00917A69" w:rsidRDefault="00BE3D8E">
            <w:pPr>
              <w:ind w:left="85" w:right="85"/>
              <w:jc w:val="both"/>
              <w:rPr>
                <w:sz w:val="24"/>
                <w:szCs w:val="24"/>
              </w:rPr>
            </w:pPr>
            <w:r w:rsidRPr="00917A69">
              <w:rPr>
                <w:sz w:val="24"/>
                <w:szCs w:val="24"/>
              </w:rPr>
              <w:t>1.5. ИНН эмитента</w:t>
            </w:r>
          </w:p>
        </w:tc>
        <w:tc>
          <w:tcPr>
            <w:tcW w:w="5386" w:type="dxa"/>
          </w:tcPr>
          <w:p w:rsidR="00BE3D8E" w:rsidRPr="00917A69" w:rsidRDefault="00BE3D8E" w:rsidP="00212E5F">
            <w:pPr>
              <w:ind w:left="85" w:right="85"/>
              <w:jc w:val="both"/>
              <w:rPr>
                <w:sz w:val="24"/>
                <w:szCs w:val="24"/>
              </w:rPr>
            </w:pPr>
            <w:r w:rsidRPr="00917A69">
              <w:rPr>
                <w:sz w:val="24"/>
                <w:szCs w:val="24"/>
              </w:rPr>
              <w:t>6315222985</w:t>
            </w:r>
          </w:p>
        </w:tc>
      </w:tr>
      <w:tr w:rsidR="00BE3D8E" w:rsidRPr="00917A69" w:rsidTr="00A93B06">
        <w:tc>
          <w:tcPr>
            <w:tcW w:w="4990" w:type="dxa"/>
          </w:tcPr>
          <w:p w:rsidR="00BE3D8E" w:rsidRPr="00917A69" w:rsidRDefault="00BE3D8E">
            <w:pPr>
              <w:ind w:left="85" w:right="85"/>
              <w:jc w:val="both"/>
              <w:rPr>
                <w:sz w:val="24"/>
                <w:szCs w:val="24"/>
              </w:rPr>
            </w:pPr>
            <w:r w:rsidRPr="00917A69">
              <w:rPr>
                <w:sz w:val="24"/>
                <w:szCs w:val="24"/>
              </w:rPr>
              <w:t>1.6. Уникальный код эмитента, присвоенный регистрирующим органом</w:t>
            </w:r>
          </w:p>
        </w:tc>
        <w:tc>
          <w:tcPr>
            <w:tcW w:w="5386" w:type="dxa"/>
          </w:tcPr>
          <w:p w:rsidR="00BE3D8E" w:rsidRPr="00917A69" w:rsidRDefault="00BE3D8E" w:rsidP="00212E5F">
            <w:pPr>
              <w:ind w:left="85" w:right="85"/>
              <w:jc w:val="both"/>
              <w:rPr>
                <w:sz w:val="24"/>
                <w:szCs w:val="24"/>
              </w:rPr>
            </w:pPr>
            <w:r w:rsidRPr="00917A69">
              <w:rPr>
                <w:sz w:val="24"/>
                <w:szCs w:val="24"/>
              </w:rPr>
              <w:t>00127-А</w:t>
            </w:r>
          </w:p>
        </w:tc>
      </w:tr>
      <w:tr w:rsidR="00BE3D8E" w:rsidRPr="00917A69" w:rsidTr="00A93B06">
        <w:tc>
          <w:tcPr>
            <w:tcW w:w="4990" w:type="dxa"/>
          </w:tcPr>
          <w:p w:rsidR="00BE3D8E" w:rsidRPr="00917A69" w:rsidRDefault="00BE3D8E">
            <w:pPr>
              <w:ind w:left="85" w:right="85"/>
              <w:jc w:val="both"/>
              <w:rPr>
                <w:sz w:val="24"/>
                <w:szCs w:val="24"/>
              </w:rPr>
            </w:pPr>
            <w:r w:rsidRPr="00917A69">
              <w:rPr>
                <w:sz w:val="24"/>
                <w:szCs w:val="24"/>
              </w:rPr>
              <w:t>1.7. Адрес страницы в сети Интернет, используемой эмитентом для раскрытия информации</w:t>
            </w:r>
          </w:p>
        </w:tc>
        <w:tc>
          <w:tcPr>
            <w:tcW w:w="5386" w:type="dxa"/>
          </w:tcPr>
          <w:p w:rsidR="00A11579" w:rsidRPr="00E65C47" w:rsidRDefault="00C967BD" w:rsidP="00A11579">
            <w:pPr>
              <w:ind w:left="85" w:right="85"/>
              <w:jc w:val="both"/>
              <w:rPr>
                <w:sz w:val="24"/>
                <w:szCs w:val="24"/>
                <w:u w:val="single"/>
              </w:rPr>
            </w:pPr>
            <w:hyperlink r:id="rId8" w:history="1">
              <w:r w:rsidR="00B11EFA" w:rsidRPr="00E65C47">
                <w:rPr>
                  <w:sz w:val="24"/>
                  <w:szCs w:val="24"/>
                  <w:u w:val="single"/>
                </w:rPr>
                <w:t>http://disclosure.1prime.ru/Portal/Default.aspx?emId=6315222985</w:t>
              </w:r>
            </w:hyperlink>
          </w:p>
          <w:p w:rsidR="00153A51" w:rsidRPr="00B705B5" w:rsidRDefault="00C967BD" w:rsidP="00A11579">
            <w:pPr>
              <w:ind w:left="85" w:right="85"/>
              <w:jc w:val="both"/>
              <w:rPr>
                <w:sz w:val="24"/>
                <w:szCs w:val="24"/>
              </w:rPr>
            </w:pPr>
            <w:hyperlink r:id="rId9" w:history="1">
              <w:r w:rsidR="00153A51" w:rsidRPr="00B705B5">
                <w:rPr>
                  <w:rStyle w:val="a9"/>
                  <w:color w:val="auto"/>
                  <w:sz w:val="24"/>
                  <w:szCs w:val="24"/>
                </w:rPr>
                <w:t>http://www.samaraenergo.ru/stockholder/facts/</w:t>
              </w:r>
            </w:hyperlink>
            <w:r w:rsidR="00153A51" w:rsidRPr="00B705B5">
              <w:rPr>
                <w:sz w:val="24"/>
                <w:szCs w:val="24"/>
              </w:rPr>
              <w:t xml:space="preserve"> </w:t>
            </w:r>
          </w:p>
        </w:tc>
      </w:tr>
    </w:tbl>
    <w:p w:rsidR="00A13C5C" w:rsidRPr="00917A69" w:rsidRDefault="00A13C5C">
      <w:pPr>
        <w:rPr>
          <w:sz w:val="24"/>
          <w:szCs w:val="24"/>
        </w:rPr>
      </w:pPr>
    </w:p>
    <w:tbl>
      <w:tblPr>
        <w:tblW w:w="103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348"/>
      </w:tblGrid>
      <w:tr w:rsidR="00A13C5C" w:rsidRPr="00917A69" w:rsidTr="005A5FD3">
        <w:tc>
          <w:tcPr>
            <w:tcW w:w="10348" w:type="dxa"/>
          </w:tcPr>
          <w:p w:rsidR="00A13C5C" w:rsidRPr="00917A69" w:rsidRDefault="00A13C5C">
            <w:pPr>
              <w:jc w:val="center"/>
              <w:rPr>
                <w:sz w:val="24"/>
                <w:szCs w:val="24"/>
              </w:rPr>
            </w:pPr>
            <w:r w:rsidRPr="00917A69">
              <w:rPr>
                <w:sz w:val="24"/>
                <w:szCs w:val="24"/>
              </w:rPr>
              <w:t>2. Содержание сообщения</w:t>
            </w:r>
          </w:p>
        </w:tc>
      </w:tr>
      <w:tr w:rsidR="00A13C5C" w:rsidRPr="00917A69" w:rsidTr="00B84DDC">
        <w:trPr>
          <w:trHeight w:val="7585"/>
        </w:trPr>
        <w:tc>
          <w:tcPr>
            <w:tcW w:w="10348" w:type="dxa"/>
          </w:tcPr>
          <w:p w:rsidR="001245E4" w:rsidRDefault="001245E4" w:rsidP="00B84DDC">
            <w:pPr>
              <w:pStyle w:val="aa"/>
              <w:jc w:val="both"/>
            </w:pPr>
            <w:r>
              <w:t>2.1 Вид бухгалтерской (финансовой) отчетности эмитента (промежуточная или годовая сводная бухгалтерская (консолидированная финансовая)): годовая консолидированная финансовая отчетность.</w:t>
            </w:r>
          </w:p>
          <w:p w:rsidR="001245E4" w:rsidRDefault="001245E4" w:rsidP="00B84DDC">
            <w:pPr>
              <w:pStyle w:val="aa"/>
              <w:jc w:val="both"/>
            </w:pPr>
            <w:r>
              <w:t>2.2 Отчетный период, за который составлена сводная бухгалтерская (консолидированная финансовая) отчетность эмитента: 201</w:t>
            </w:r>
            <w:r w:rsidR="00B84DDC">
              <w:t>5</w:t>
            </w:r>
            <w:r>
              <w:t xml:space="preserve"> год.</w:t>
            </w:r>
          </w:p>
          <w:p w:rsidR="001245E4" w:rsidRDefault="001245E4" w:rsidP="00B84DDC">
            <w:pPr>
              <w:pStyle w:val="aa"/>
              <w:jc w:val="both"/>
            </w:pPr>
            <w:r>
              <w:t xml:space="preserve">2.3. Стандарты бухгалтерской (финансовой) отчетности, в соответствии с которыми составлена сводная бухгалтерская (консолидированная финансовая) отчетность: Международные стандарты финансовой отчетности (МСФО). </w:t>
            </w:r>
          </w:p>
          <w:p w:rsidR="001245E4" w:rsidRDefault="001245E4" w:rsidP="00B84DDC">
            <w:pPr>
              <w:pStyle w:val="aa"/>
              <w:jc w:val="both"/>
            </w:pPr>
            <w:r>
              <w:t xml:space="preserve">2.4. Сведения об аудиторе, подготовившем аудиторское заключение в отношении соответствующей сводной бухгалтерской (консолидированной финансовой) отчетности эмитента (фамилия, имя, отчество индивидуального аудитора или полное фирменное наименование, место нахождения, ИНН (если применимо), ОГРН (если применимо) аудиторской организации) или указание на то, что в отношении соответствующей сводной бухгалтерской (консолидированной финансовой) отчетности эмитента аудит не проводился: АО "ГАЗАУДИТ", ОГРН 1026300893300, ИНН 6314010360. </w:t>
            </w:r>
          </w:p>
          <w:p w:rsidR="001245E4" w:rsidRDefault="001245E4" w:rsidP="00B84DDC">
            <w:pPr>
              <w:pStyle w:val="aa"/>
              <w:jc w:val="both"/>
            </w:pPr>
            <w:r>
              <w:t>2.5. Адрес страницы в сети Интернет, на которой эмитентом опубликован текст соответствующей сводной бухгалтерской (консолидированной финансовой) отчетности: http://disclosure.1prime.ru/portal/default.aspx?emId=6315222985</w:t>
            </w:r>
          </w:p>
          <w:p w:rsidR="001245E4" w:rsidRDefault="001245E4" w:rsidP="00B84DDC">
            <w:pPr>
              <w:pStyle w:val="aa"/>
              <w:jc w:val="both"/>
            </w:pPr>
            <w:r>
              <w:t>http://www.samaraenergo.ru/stockholder/report/</w:t>
            </w:r>
          </w:p>
          <w:p w:rsidR="00FD37E8" w:rsidRPr="00FD37E8" w:rsidRDefault="001245E4" w:rsidP="00B84DDC">
            <w:pPr>
              <w:pStyle w:val="aa"/>
              <w:jc w:val="both"/>
              <w:rPr>
                <w:b/>
                <w:iCs/>
                <w:snapToGrid w:val="0"/>
                <w:color w:val="000000"/>
                <w:lang w:eastAsia="en-US"/>
              </w:rPr>
            </w:pPr>
            <w:r>
              <w:t xml:space="preserve">2.6. Дата опубликования текста документа на странице в сети Интернет, используемой эмитентом для раскрытия информации: </w:t>
            </w:r>
            <w:r w:rsidRPr="001245E4">
              <w:t>2</w:t>
            </w:r>
            <w:r w:rsidR="00B84DDC">
              <w:t>6</w:t>
            </w:r>
            <w:r>
              <w:t>.04.201</w:t>
            </w:r>
            <w:r w:rsidR="00B84DDC">
              <w:t>6</w:t>
            </w:r>
            <w:r>
              <w:t xml:space="preserve"> г.</w:t>
            </w:r>
          </w:p>
        </w:tc>
      </w:tr>
    </w:tbl>
    <w:p w:rsidR="00A13C5C" w:rsidRPr="00917A69" w:rsidRDefault="00A13C5C">
      <w:pPr>
        <w:rPr>
          <w:sz w:val="24"/>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19"/>
        <w:gridCol w:w="406"/>
        <w:gridCol w:w="283"/>
        <w:gridCol w:w="1559"/>
        <w:gridCol w:w="737"/>
        <w:gridCol w:w="644"/>
        <w:gridCol w:w="3091"/>
        <w:gridCol w:w="2409"/>
      </w:tblGrid>
      <w:tr w:rsidR="00622BB8" w:rsidRPr="00AD3C20" w:rsidTr="00F76464">
        <w:tc>
          <w:tcPr>
            <w:tcW w:w="10348" w:type="dxa"/>
            <w:gridSpan w:val="8"/>
          </w:tcPr>
          <w:p w:rsidR="00622BB8" w:rsidRPr="003C48AC" w:rsidRDefault="00622BB8" w:rsidP="00FD09FF">
            <w:pPr>
              <w:jc w:val="center"/>
              <w:rPr>
                <w:sz w:val="24"/>
                <w:szCs w:val="24"/>
              </w:rPr>
            </w:pPr>
            <w:r w:rsidRPr="003C48AC">
              <w:rPr>
                <w:sz w:val="24"/>
                <w:szCs w:val="24"/>
              </w:rPr>
              <w:t>3. Подписи</w:t>
            </w:r>
          </w:p>
        </w:tc>
      </w:tr>
      <w:tr w:rsidR="00597284" w:rsidRPr="00AD3C20" w:rsidTr="006B5E8A">
        <w:trPr>
          <w:cantSplit/>
          <w:trHeight w:val="278"/>
        </w:trPr>
        <w:tc>
          <w:tcPr>
            <w:tcW w:w="4848" w:type="dxa"/>
            <w:gridSpan w:val="6"/>
          </w:tcPr>
          <w:p w:rsidR="00BB5EF0" w:rsidRDefault="00597284" w:rsidP="00BB5EF0">
            <w:pPr>
              <w:spacing w:before="20"/>
              <w:rPr>
                <w:sz w:val="24"/>
                <w:szCs w:val="24"/>
              </w:rPr>
            </w:pPr>
            <w:r w:rsidRPr="003C48AC">
              <w:rPr>
                <w:sz w:val="24"/>
                <w:szCs w:val="24"/>
              </w:rPr>
              <w:t>3.1. </w:t>
            </w:r>
            <w:r w:rsidR="00BB5EF0">
              <w:rPr>
                <w:sz w:val="24"/>
                <w:szCs w:val="24"/>
              </w:rPr>
              <w:t>Генеральный директор</w:t>
            </w:r>
            <w:r w:rsidR="006A4941">
              <w:rPr>
                <w:sz w:val="24"/>
                <w:szCs w:val="24"/>
              </w:rPr>
              <w:t xml:space="preserve"> </w:t>
            </w:r>
            <w:r w:rsidR="00BB5EF0">
              <w:rPr>
                <w:sz w:val="24"/>
                <w:szCs w:val="24"/>
              </w:rPr>
              <w:t xml:space="preserve">      </w:t>
            </w:r>
          </w:p>
          <w:p w:rsidR="00597284" w:rsidRPr="002A51B7" w:rsidRDefault="00B84DDC" w:rsidP="00BB5EF0">
            <w:pPr>
              <w:spacing w:before="20"/>
              <w:rPr>
                <w:sz w:val="24"/>
                <w:szCs w:val="24"/>
              </w:rPr>
            </w:pPr>
            <w:r>
              <w:rPr>
                <w:sz w:val="24"/>
                <w:szCs w:val="24"/>
              </w:rPr>
              <w:t>П</w:t>
            </w:r>
            <w:r w:rsidR="002A51B7">
              <w:rPr>
                <w:sz w:val="24"/>
                <w:szCs w:val="24"/>
              </w:rPr>
              <w:t>АО «Самараэнерго»</w:t>
            </w:r>
            <w:r w:rsidR="00BB5EF0">
              <w:rPr>
                <w:sz w:val="24"/>
                <w:szCs w:val="24"/>
              </w:rPr>
              <w:t xml:space="preserve"> </w:t>
            </w:r>
          </w:p>
        </w:tc>
        <w:tc>
          <w:tcPr>
            <w:tcW w:w="3091" w:type="dxa"/>
          </w:tcPr>
          <w:p w:rsidR="00597284" w:rsidRPr="003C48AC" w:rsidRDefault="00597284" w:rsidP="00FD09FF">
            <w:pPr>
              <w:spacing w:before="20"/>
              <w:rPr>
                <w:sz w:val="24"/>
                <w:szCs w:val="24"/>
              </w:rPr>
            </w:pPr>
          </w:p>
          <w:p w:rsidR="003C48AC" w:rsidRPr="003C48AC" w:rsidRDefault="003C48AC" w:rsidP="00FD09FF">
            <w:pPr>
              <w:spacing w:before="20"/>
              <w:rPr>
                <w:sz w:val="24"/>
                <w:szCs w:val="24"/>
              </w:rPr>
            </w:pPr>
          </w:p>
        </w:tc>
        <w:tc>
          <w:tcPr>
            <w:tcW w:w="2409" w:type="dxa"/>
          </w:tcPr>
          <w:p w:rsidR="00597284" w:rsidRPr="003C48AC" w:rsidRDefault="00BB5EF0" w:rsidP="00BB5EF0">
            <w:pPr>
              <w:spacing w:before="20"/>
              <w:rPr>
                <w:sz w:val="24"/>
                <w:szCs w:val="24"/>
              </w:rPr>
            </w:pPr>
            <w:r>
              <w:rPr>
                <w:sz w:val="24"/>
                <w:szCs w:val="24"/>
              </w:rPr>
              <w:t>О.А. Дербенев</w:t>
            </w:r>
          </w:p>
        </w:tc>
      </w:tr>
      <w:tr w:rsidR="00597284" w:rsidRPr="00AD3C20" w:rsidTr="00F76464">
        <w:trPr>
          <w:cantSplit/>
          <w:trHeight w:val="410"/>
        </w:trPr>
        <w:tc>
          <w:tcPr>
            <w:tcW w:w="1219" w:type="dxa"/>
            <w:vAlign w:val="bottom"/>
          </w:tcPr>
          <w:p w:rsidR="00597284" w:rsidRPr="003C48AC" w:rsidRDefault="00597284" w:rsidP="00F76464">
            <w:pPr>
              <w:ind w:left="57" w:hanging="57"/>
              <w:rPr>
                <w:sz w:val="24"/>
                <w:szCs w:val="24"/>
              </w:rPr>
            </w:pPr>
            <w:r w:rsidRPr="003C48AC">
              <w:rPr>
                <w:sz w:val="24"/>
                <w:szCs w:val="24"/>
              </w:rPr>
              <w:t>3.2. Дата “</w:t>
            </w:r>
          </w:p>
        </w:tc>
        <w:tc>
          <w:tcPr>
            <w:tcW w:w="406" w:type="dxa"/>
            <w:vAlign w:val="bottom"/>
          </w:tcPr>
          <w:p w:rsidR="00597284" w:rsidRPr="00B84DDC" w:rsidRDefault="00B84DDC" w:rsidP="00AD19C5">
            <w:pPr>
              <w:jc w:val="center"/>
              <w:rPr>
                <w:sz w:val="24"/>
                <w:szCs w:val="24"/>
              </w:rPr>
            </w:pPr>
            <w:r>
              <w:rPr>
                <w:sz w:val="24"/>
                <w:szCs w:val="24"/>
              </w:rPr>
              <w:t>26</w:t>
            </w:r>
          </w:p>
        </w:tc>
        <w:tc>
          <w:tcPr>
            <w:tcW w:w="283" w:type="dxa"/>
            <w:vAlign w:val="bottom"/>
          </w:tcPr>
          <w:p w:rsidR="00597284" w:rsidRPr="003C48AC" w:rsidRDefault="00597284" w:rsidP="00FD09FF">
            <w:pPr>
              <w:rPr>
                <w:sz w:val="24"/>
                <w:szCs w:val="24"/>
              </w:rPr>
            </w:pPr>
            <w:r w:rsidRPr="003C48AC">
              <w:rPr>
                <w:sz w:val="24"/>
                <w:szCs w:val="24"/>
              </w:rPr>
              <w:t>”</w:t>
            </w:r>
          </w:p>
        </w:tc>
        <w:tc>
          <w:tcPr>
            <w:tcW w:w="1559" w:type="dxa"/>
            <w:vAlign w:val="bottom"/>
          </w:tcPr>
          <w:p w:rsidR="00597284" w:rsidRPr="001245E4" w:rsidRDefault="001245E4" w:rsidP="00FD09FF">
            <w:pPr>
              <w:jc w:val="center"/>
              <w:rPr>
                <w:sz w:val="24"/>
                <w:szCs w:val="24"/>
              </w:rPr>
            </w:pPr>
            <w:r>
              <w:rPr>
                <w:sz w:val="24"/>
                <w:szCs w:val="24"/>
              </w:rPr>
              <w:t>апреля</w:t>
            </w:r>
          </w:p>
        </w:tc>
        <w:tc>
          <w:tcPr>
            <w:tcW w:w="737" w:type="dxa"/>
            <w:vAlign w:val="bottom"/>
          </w:tcPr>
          <w:p w:rsidR="00597284" w:rsidRPr="007D1A21" w:rsidRDefault="00597284" w:rsidP="00B84DDC">
            <w:pPr>
              <w:rPr>
                <w:sz w:val="24"/>
                <w:szCs w:val="24"/>
              </w:rPr>
            </w:pPr>
            <w:r w:rsidRPr="007D1A21">
              <w:rPr>
                <w:sz w:val="24"/>
                <w:szCs w:val="24"/>
              </w:rPr>
              <w:t>20</w:t>
            </w:r>
            <w:r w:rsidR="00B46171" w:rsidRPr="007D1A21">
              <w:rPr>
                <w:sz w:val="24"/>
                <w:szCs w:val="24"/>
              </w:rPr>
              <w:t>1</w:t>
            </w:r>
            <w:r w:rsidR="00B84DDC">
              <w:rPr>
                <w:sz w:val="24"/>
                <w:szCs w:val="24"/>
              </w:rPr>
              <w:t>6</w:t>
            </w:r>
          </w:p>
        </w:tc>
        <w:tc>
          <w:tcPr>
            <w:tcW w:w="6144" w:type="dxa"/>
            <w:gridSpan w:val="3"/>
            <w:vAlign w:val="bottom"/>
          </w:tcPr>
          <w:p w:rsidR="00597284" w:rsidRPr="007D1A21" w:rsidRDefault="00597284" w:rsidP="00FD09FF">
            <w:pPr>
              <w:tabs>
                <w:tab w:val="left" w:pos="1219"/>
              </w:tabs>
              <w:rPr>
                <w:sz w:val="24"/>
                <w:szCs w:val="24"/>
              </w:rPr>
            </w:pPr>
            <w:r w:rsidRPr="007D1A21">
              <w:rPr>
                <w:sz w:val="24"/>
                <w:szCs w:val="24"/>
              </w:rPr>
              <w:t xml:space="preserve"> г.</w:t>
            </w:r>
            <w:r w:rsidRPr="007D1A21">
              <w:rPr>
                <w:sz w:val="24"/>
                <w:szCs w:val="24"/>
              </w:rPr>
              <w:tab/>
            </w:r>
          </w:p>
        </w:tc>
      </w:tr>
      <w:tr w:rsidR="003C48AC" w:rsidRPr="00AD3C20" w:rsidTr="0063740E">
        <w:trPr>
          <w:cantSplit/>
          <w:trHeight w:val="412"/>
        </w:trPr>
        <w:tc>
          <w:tcPr>
            <w:tcW w:w="10348" w:type="dxa"/>
            <w:gridSpan w:val="8"/>
            <w:vAlign w:val="bottom"/>
          </w:tcPr>
          <w:p w:rsidR="003C48AC" w:rsidRPr="003C48AC" w:rsidRDefault="003C48AC" w:rsidP="00FD09FF">
            <w:pPr>
              <w:jc w:val="center"/>
              <w:rPr>
                <w:sz w:val="24"/>
                <w:szCs w:val="24"/>
              </w:rPr>
            </w:pPr>
            <w:r w:rsidRPr="003C48AC">
              <w:rPr>
                <w:sz w:val="24"/>
                <w:szCs w:val="24"/>
              </w:rPr>
              <w:t>м.п.</w:t>
            </w:r>
          </w:p>
        </w:tc>
      </w:tr>
    </w:tbl>
    <w:p w:rsidR="00622BB8" w:rsidRPr="00622BB8" w:rsidRDefault="00622BB8">
      <w:pPr>
        <w:rPr>
          <w:sz w:val="28"/>
          <w:szCs w:val="28"/>
        </w:rPr>
      </w:pPr>
    </w:p>
    <w:sectPr w:rsidR="00622BB8" w:rsidRPr="00622BB8" w:rsidSect="00586C36">
      <w:pgSz w:w="11906" w:h="16838"/>
      <w:pgMar w:top="709" w:right="567" w:bottom="426" w:left="1134" w:header="397" w:footer="283"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557" w:rsidRDefault="00471557">
      <w:r>
        <w:separator/>
      </w:r>
    </w:p>
  </w:endnote>
  <w:endnote w:type="continuationSeparator" w:id="0">
    <w:p w:rsidR="00471557" w:rsidRDefault="00471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557" w:rsidRDefault="00471557">
      <w:r>
        <w:separator/>
      </w:r>
    </w:p>
  </w:footnote>
  <w:footnote w:type="continuationSeparator" w:id="0">
    <w:p w:rsidR="00471557" w:rsidRDefault="004715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5554E"/>
    <w:multiLevelType w:val="hybridMultilevel"/>
    <w:tmpl w:val="25D6F25E"/>
    <w:lvl w:ilvl="0" w:tplc="81144C30">
      <w:start w:val="1"/>
      <w:numFmt w:val="decimal"/>
      <w:lvlText w:val="%1."/>
      <w:lvlJc w:val="left"/>
      <w:pPr>
        <w:ind w:left="720" w:hanging="360"/>
      </w:pPr>
      <w:rPr>
        <w:rFonts w:cs="Times New Roman" w:hint="default"/>
        <w:b w:val="0"/>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657FF3"/>
    <w:multiLevelType w:val="hybridMultilevel"/>
    <w:tmpl w:val="BC4E96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7449CD"/>
    <w:multiLevelType w:val="hybridMultilevel"/>
    <w:tmpl w:val="215A05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11958C4"/>
    <w:multiLevelType w:val="hybridMultilevel"/>
    <w:tmpl w:val="46C43B3E"/>
    <w:lvl w:ilvl="0" w:tplc="81144C30">
      <w:start w:val="1"/>
      <w:numFmt w:val="decimal"/>
      <w:lvlText w:val="%1."/>
      <w:lvlJc w:val="left"/>
      <w:pPr>
        <w:ind w:left="720" w:hanging="360"/>
      </w:pPr>
      <w:rPr>
        <w:rFonts w:cs="Times New Roman" w:hint="default"/>
        <w:b w:val="0"/>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B8038E2"/>
    <w:multiLevelType w:val="hybridMultilevel"/>
    <w:tmpl w:val="1FBE2A68"/>
    <w:lvl w:ilvl="0" w:tplc="3EB8676A">
      <w:start w:val="1"/>
      <w:numFmt w:val="decimal"/>
      <w:lvlText w:val="%1."/>
      <w:lvlJc w:val="left"/>
      <w:pPr>
        <w:tabs>
          <w:tab w:val="num" w:pos="644"/>
        </w:tabs>
        <w:ind w:left="644" w:hanging="360"/>
      </w:pPr>
      <w:rPr>
        <w:rFonts w:cs="Times New Roman"/>
        <w:b/>
        <w:i w:val="0"/>
        <w:sz w:val="24"/>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4"/>
  </w:num>
  <w:num w:numId="2">
    <w:abstractNumId w:val="4"/>
  </w:num>
  <w:num w:numId="3">
    <w:abstractNumId w:val="1"/>
  </w:num>
  <w:num w:numId="4">
    <w:abstractNumId w:val="0"/>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E3D8E"/>
    <w:rsid w:val="000000C7"/>
    <w:rsid w:val="00001AFE"/>
    <w:rsid w:val="00016568"/>
    <w:rsid w:val="0004147B"/>
    <w:rsid w:val="00082A7A"/>
    <w:rsid w:val="0009665F"/>
    <w:rsid w:val="000E743A"/>
    <w:rsid w:val="000F4CF6"/>
    <w:rsid w:val="00102A56"/>
    <w:rsid w:val="001140B7"/>
    <w:rsid w:val="0012374B"/>
    <w:rsid w:val="001245E4"/>
    <w:rsid w:val="00125EAD"/>
    <w:rsid w:val="0012618C"/>
    <w:rsid w:val="0013534D"/>
    <w:rsid w:val="00153A51"/>
    <w:rsid w:val="001662F1"/>
    <w:rsid w:val="00184DB7"/>
    <w:rsid w:val="001968D8"/>
    <w:rsid w:val="001C27EE"/>
    <w:rsid w:val="001D6B0B"/>
    <w:rsid w:val="001D74B1"/>
    <w:rsid w:val="00203E94"/>
    <w:rsid w:val="002058F3"/>
    <w:rsid w:val="00212E5F"/>
    <w:rsid w:val="0021718B"/>
    <w:rsid w:val="002243CE"/>
    <w:rsid w:val="00233BFA"/>
    <w:rsid w:val="00241784"/>
    <w:rsid w:val="0025115D"/>
    <w:rsid w:val="00275169"/>
    <w:rsid w:val="002A51B7"/>
    <w:rsid w:val="002B1360"/>
    <w:rsid w:val="002C0AD6"/>
    <w:rsid w:val="002C361D"/>
    <w:rsid w:val="002E21C6"/>
    <w:rsid w:val="002E3C3E"/>
    <w:rsid w:val="002E5E02"/>
    <w:rsid w:val="00300B61"/>
    <w:rsid w:val="00307C68"/>
    <w:rsid w:val="00307FB7"/>
    <w:rsid w:val="00311430"/>
    <w:rsid w:val="003138CB"/>
    <w:rsid w:val="00330CD8"/>
    <w:rsid w:val="0033425D"/>
    <w:rsid w:val="00351E4F"/>
    <w:rsid w:val="00366E5B"/>
    <w:rsid w:val="003A7A2D"/>
    <w:rsid w:val="003B2679"/>
    <w:rsid w:val="003B77A9"/>
    <w:rsid w:val="003C48AC"/>
    <w:rsid w:val="003F7F63"/>
    <w:rsid w:val="004010FB"/>
    <w:rsid w:val="00403B69"/>
    <w:rsid w:val="00405776"/>
    <w:rsid w:val="00417C33"/>
    <w:rsid w:val="004507FF"/>
    <w:rsid w:val="004626FD"/>
    <w:rsid w:val="004629AC"/>
    <w:rsid w:val="00471557"/>
    <w:rsid w:val="00485318"/>
    <w:rsid w:val="004C5A55"/>
    <w:rsid w:val="004C5D1C"/>
    <w:rsid w:val="004E1853"/>
    <w:rsid w:val="005343FC"/>
    <w:rsid w:val="00564B0A"/>
    <w:rsid w:val="0056543B"/>
    <w:rsid w:val="00586C36"/>
    <w:rsid w:val="00594DC4"/>
    <w:rsid w:val="00597284"/>
    <w:rsid w:val="005A5FD3"/>
    <w:rsid w:val="005B65F0"/>
    <w:rsid w:val="005E11C4"/>
    <w:rsid w:val="005E21F4"/>
    <w:rsid w:val="00612C34"/>
    <w:rsid w:val="00622BB8"/>
    <w:rsid w:val="0063740E"/>
    <w:rsid w:val="00646135"/>
    <w:rsid w:val="00650D00"/>
    <w:rsid w:val="006573ED"/>
    <w:rsid w:val="0066016D"/>
    <w:rsid w:val="006717D1"/>
    <w:rsid w:val="00673243"/>
    <w:rsid w:val="00676D98"/>
    <w:rsid w:val="0068775E"/>
    <w:rsid w:val="006A4941"/>
    <w:rsid w:val="006B5E8A"/>
    <w:rsid w:val="006C5941"/>
    <w:rsid w:val="006D63A5"/>
    <w:rsid w:val="006F2509"/>
    <w:rsid w:val="0070098F"/>
    <w:rsid w:val="00702818"/>
    <w:rsid w:val="00702CCC"/>
    <w:rsid w:val="00711A7A"/>
    <w:rsid w:val="0072452D"/>
    <w:rsid w:val="00741A1D"/>
    <w:rsid w:val="007736E5"/>
    <w:rsid w:val="007834F6"/>
    <w:rsid w:val="00794508"/>
    <w:rsid w:val="007D1A21"/>
    <w:rsid w:val="007D5743"/>
    <w:rsid w:val="007E1619"/>
    <w:rsid w:val="007E1DF4"/>
    <w:rsid w:val="007F7996"/>
    <w:rsid w:val="00802E99"/>
    <w:rsid w:val="0080360E"/>
    <w:rsid w:val="008132A3"/>
    <w:rsid w:val="0082616F"/>
    <w:rsid w:val="008312FF"/>
    <w:rsid w:val="008444F5"/>
    <w:rsid w:val="0084774D"/>
    <w:rsid w:val="00855A97"/>
    <w:rsid w:val="008A3AA6"/>
    <w:rsid w:val="00901B28"/>
    <w:rsid w:val="00902A7B"/>
    <w:rsid w:val="00917A69"/>
    <w:rsid w:val="00932B49"/>
    <w:rsid w:val="00953DC3"/>
    <w:rsid w:val="00980B26"/>
    <w:rsid w:val="009961FB"/>
    <w:rsid w:val="009A3695"/>
    <w:rsid w:val="00A0722D"/>
    <w:rsid w:val="00A11579"/>
    <w:rsid w:val="00A13C5C"/>
    <w:rsid w:val="00A63C34"/>
    <w:rsid w:val="00A93B06"/>
    <w:rsid w:val="00AB3CFB"/>
    <w:rsid w:val="00AC6B1F"/>
    <w:rsid w:val="00AD19C5"/>
    <w:rsid w:val="00AD3283"/>
    <w:rsid w:val="00AD3C20"/>
    <w:rsid w:val="00AD3C57"/>
    <w:rsid w:val="00AE3560"/>
    <w:rsid w:val="00AE44BE"/>
    <w:rsid w:val="00AF2B55"/>
    <w:rsid w:val="00B11EFA"/>
    <w:rsid w:val="00B26DBA"/>
    <w:rsid w:val="00B36719"/>
    <w:rsid w:val="00B42CE2"/>
    <w:rsid w:val="00B46171"/>
    <w:rsid w:val="00B705B5"/>
    <w:rsid w:val="00B82CDC"/>
    <w:rsid w:val="00B84DDC"/>
    <w:rsid w:val="00B86F81"/>
    <w:rsid w:val="00BA41DC"/>
    <w:rsid w:val="00BB5EF0"/>
    <w:rsid w:val="00BC4175"/>
    <w:rsid w:val="00BE3D8E"/>
    <w:rsid w:val="00C007B7"/>
    <w:rsid w:val="00C14B77"/>
    <w:rsid w:val="00C313F0"/>
    <w:rsid w:val="00C42130"/>
    <w:rsid w:val="00C436F8"/>
    <w:rsid w:val="00C755A5"/>
    <w:rsid w:val="00C967BD"/>
    <w:rsid w:val="00CB38A5"/>
    <w:rsid w:val="00CB7088"/>
    <w:rsid w:val="00CD7608"/>
    <w:rsid w:val="00D21383"/>
    <w:rsid w:val="00D22385"/>
    <w:rsid w:val="00D40BDD"/>
    <w:rsid w:val="00D60124"/>
    <w:rsid w:val="00D74D8B"/>
    <w:rsid w:val="00D85E6F"/>
    <w:rsid w:val="00DA58AB"/>
    <w:rsid w:val="00E0517B"/>
    <w:rsid w:val="00E30947"/>
    <w:rsid w:val="00E429FF"/>
    <w:rsid w:val="00E502A6"/>
    <w:rsid w:val="00E6554E"/>
    <w:rsid w:val="00E65C47"/>
    <w:rsid w:val="00E81F8D"/>
    <w:rsid w:val="00E91E51"/>
    <w:rsid w:val="00EB1E3B"/>
    <w:rsid w:val="00EC7DCA"/>
    <w:rsid w:val="00EE1E95"/>
    <w:rsid w:val="00EF0466"/>
    <w:rsid w:val="00F119D3"/>
    <w:rsid w:val="00F13B38"/>
    <w:rsid w:val="00F21AB0"/>
    <w:rsid w:val="00F25CF5"/>
    <w:rsid w:val="00F27EC2"/>
    <w:rsid w:val="00F364A6"/>
    <w:rsid w:val="00F45FFF"/>
    <w:rsid w:val="00F47313"/>
    <w:rsid w:val="00F5173E"/>
    <w:rsid w:val="00F547E6"/>
    <w:rsid w:val="00F742D8"/>
    <w:rsid w:val="00F76464"/>
    <w:rsid w:val="00F81A80"/>
    <w:rsid w:val="00FC19C6"/>
    <w:rsid w:val="00FD09FF"/>
    <w:rsid w:val="00FD37E8"/>
    <w:rsid w:val="00FE049F"/>
    <w:rsid w:val="00FE1062"/>
    <w:rsid w:val="00FE1427"/>
    <w:rsid w:val="00FF32AF"/>
    <w:rsid w:val="00FF7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560"/>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E3560"/>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AE3560"/>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AE3560"/>
    <w:pPr>
      <w:tabs>
        <w:tab w:val="center" w:pos="4153"/>
        <w:tab w:val="right" w:pos="8306"/>
      </w:tabs>
    </w:pPr>
  </w:style>
  <w:style w:type="character" w:customStyle="1" w:styleId="a4">
    <w:name w:val="Верхний колонтитул Знак"/>
    <w:basedOn w:val="a0"/>
    <w:link w:val="a3"/>
    <w:uiPriority w:val="99"/>
    <w:semiHidden/>
    <w:locked/>
    <w:rsid w:val="00AE3560"/>
    <w:rPr>
      <w:rFonts w:ascii="Times New Roman" w:hAnsi="Times New Roman" w:cs="Times New Roman"/>
      <w:sz w:val="20"/>
      <w:szCs w:val="20"/>
    </w:rPr>
  </w:style>
  <w:style w:type="paragraph" w:styleId="a5">
    <w:name w:val="footer"/>
    <w:basedOn w:val="a"/>
    <w:link w:val="a6"/>
    <w:uiPriority w:val="99"/>
    <w:rsid w:val="00AE3560"/>
    <w:pPr>
      <w:tabs>
        <w:tab w:val="center" w:pos="4153"/>
        <w:tab w:val="right" w:pos="8306"/>
      </w:tabs>
    </w:pPr>
  </w:style>
  <w:style w:type="character" w:customStyle="1" w:styleId="a6">
    <w:name w:val="Нижний колонтитул Знак"/>
    <w:basedOn w:val="a0"/>
    <w:link w:val="a5"/>
    <w:uiPriority w:val="99"/>
    <w:semiHidden/>
    <w:locked/>
    <w:rsid w:val="00AE3560"/>
    <w:rPr>
      <w:rFonts w:ascii="Times New Roman" w:hAnsi="Times New Roman" w:cs="Times New Roman"/>
      <w:sz w:val="20"/>
      <w:szCs w:val="20"/>
    </w:rPr>
  </w:style>
  <w:style w:type="paragraph" w:styleId="a7">
    <w:name w:val="Balloon Text"/>
    <w:basedOn w:val="a"/>
    <w:link w:val="a8"/>
    <w:uiPriority w:val="99"/>
    <w:semiHidden/>
    <w:unhideWhenUsed/>
    <w:rsid w:val="00AB3CFB"/>
    <w:rPr>
      <w:rFonts w:ascii="Tahoma" w:hAnsi="Tahoma" w:cs="Tahoma"/>
      <w:sz w:val="16"/>
      <w:szCs w:val="16"/>
    </w:rPr>
  </w:style>
  <w:style w:type="character" w:customStyle="1" w:styleId="a8">
    <w:name w:val="Текст выноски Знак"/>
    <w:basedOn w:val="a0"/>
    <w:link w:val="a7"/>
    <w:uiPriority w:val="99"/>
    <w:semiHidden/>
    <w:locked/>
    <w:rsid w:val="00AB3CFB"/>
    <w:rPr>
      <w:rFonts w:ascii="Tahoma" w:hAnsi="Tahoma" w:cs="Tahoma"/>
      <w:sz w:val="16"/>
      <w:szCs w:val="16"/>
    </w:rPr>
  </w:style>
  <w:style w:type="character" w:styleId="a9">
    <w:name w:val="Hyperlink"/>
    <w:basedOn w:val="a0"/>
    <w:uiPriority w:val="99"/>
    <w:unhideWhenUsed/>
    <w:rsid w:val="00153A51"/>
    <w:rPr>
      <w:rFonts w:cs="Times New Roman"/>
      <w:color w:val="0000FF" w:themeColor="hyperlink"/>
      <w:u w:val="single"/>
    </w:rPr>
  </w:style>
  <w:style w:type="paragraph" w:styleId="2">
    <w:name w:val="Body Text Indent 2"/>
    <w:basedOn w:val="a"/>
    <w:link w:val="20"/>
    <w:uiPriority w:val="99"/>
    <w:semiHidden/>
    <w:unhideWhenUsed/>
    <w:rsid w:val="00DA58AB"/>
    <w:pPr>
      <w:autoSpaceDE/>
      <w:autoSpaceDN/>
      <w:ind w:firstLine="709"/>
      <w:jc w:val="both"/>
    </w:pPr>
    <w:rPr>
      <w:i/>
      <w:sz w:val="24"/>
    </w:rPr>
  </w:style>
  <w:style w:type="character" w:customStyle="1" w:styleId="20">
    <w:name w:val="Основной текст с отступом 2 Знак"/>
    <w:basedOn w:val="a0"/>
    <w:link w:val="2"/>
    <w:uiPriority w:val="99"/>
    <w:semiHidden/>
    <w:locked/>
    <w:rsid w:val="00DA58AB"/>
    <w:rPr>
      <w:rFonts w:ascii="Times New Roman" w:hAnsi="Times New Roman" w:cs="Times New Roman"/>
      <w:i/>
      <w:sz w:val="20"/>
      <w:szCs w:val="20"/>
    </w:rPr>
  </w:style>
  <w:style w:type="paragraph" w:styleId="aa">
    <w:name w:val="Normal (Web)"/>
    <w:basedOn w:val="a"/>
    <w:uiPriority w:val="99"/>
    <w:unhideWhenUsed/>
    <w:rsid w:val="00233BFA"/>
    <w:pPr>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9784006">
      <w:bodyDiv w:val="1"/>
      <w:marLeft w:val="0"/>
      <w:marRight w:val="0"/>
      <w:marTop w:val="0"/>
      <w:marBottom w:val="0"/>
      <w:divBdr>
        <w:top w:val="none" w:sz="0" w:space="0" w:color="auto"/>
        <w:left w:val="none" w:sz="0" w:space="0" w:color="auto"/>
        <w:bottom w:val="none" w:sz="0" w:space="0" w:color="auto"/>
        <w:right w:val="none" w:sz="0" w:space="0" w:color="auto"/>
      </w:divBdr>
    </w:div>
    <w:div w:id="244532813">
      <w:bodyDiv w:val="1"/>
      <w:marLeft w:val="0"/>
      <w:marRight w:val="0"/>
      <w:marTop w:val="0"/>
      <w:marBottom w:val="0"/>
      <w:divBdr>
        <w:top w:val="none" w:sz="0" w:space="0" w:color="auto"/>
        <w:left w:val="none" w:sz="0" w:space="0" w:color="auto"/>
        <w:bottom w:val="none" w:sz="0" w:space="0" w:color="auto"/>
        <w:right w:val="none" w:sz="0" w:space="0" w:color="auto"/>
      </w:divBdr>
      <w:divsChild>
        <w:div w:id="601033989">
          <w:marLeft w:val="0"/>
          <w:marRight w:val="0"/>
          <w:marTop w:val="0"/>
          <w:marBottom w:val="0"/>
          <w:divBdr>
            <w:top w:val="none" w:sz="0" w:space="0" w:color="auto"/>
            <w:left w:val="none" w:sz="0" w:space="0" w:color="auto"/>
            <w:bottom w:val="none" w:sz="0" w:space="0" w:color="auto"/>
            <w:right w:val="none" w:sz="0" w:space="0" w:color="auto"/>
          </w:divBdr>
        </w:div>
      </w:divsChild>
    </w:div>
    <w:div w:id="247815550">
      <w:bodyDiv w:val="1"/>
      <w:marLeft w:val="0"/>
      <w:marRight w:val="0"/>
      <w:marTop w:val="0"/>
      <w:marBottom w:val="0"/>
      <w:divBdr>
        <w:top w:val="none" w:sz="0" w:space="0" w:color="auto"/>
        <w:left w:val="none" w:sz="0" w:space="0" w:color="auto"/>
        <w:bottom w:val="none" w:sz="0" w:space="0" w:color="auto"/>
        <w:right w:val="none" w:sz="0" w:space="0" w:color="auto"/>
      </w:divBdr>
    </w:div>
    <w:div w:id="295919171">
      <w:bodyDiv w:val="1"/>
      <w:marLeft w:val="0"/>
      <w:marRight w:val="0"/>
      <w:marTop w:val="0"/>
      <w:marBottom w:val="0"/>
      <w:divBdr>
        <w:top w:val="none" w:sz="0" w:space="0" w:color="auto"/>
        <w:left w:val="none" w:sz="0" w:space="0" w:color="auto"/>
        <w:bottom w:val="none" w:sz="0" w:space="0" w:color="auto"/>
        <w:right w:val="none" w:sz="0" w:space="0" w:color="auto"/>
      </w:divBdr>
    </w:div>
    <w:div w:id="1223755244">
      <w:marLeft w:val="0"/>
      <w:marRight w:val="0"/>
      <w:marTop w:val="0"/>
      <w:marBottom w:val="0"/>
      <w:divBdr>
        <w:top w:val="none" w:sz="0" w:space="0" w:color="auto"/>
        <w:left w:val="none" w:sz="0" w:space="0" w:color="auto"/>
        <w:bottom w:val="none" w:sz="0" w:space="0" w:color="auto"/>
        <w:right w:val="none" w:sz="0" w:space="0" w:color="auto"/>
      </w:divBdr>
    </w:div>
    <w:div w:id="1223755245">
      <w:marLeft w:val="0"/>
      <w:marRight w:val="0"/>
      <w:marTop w:val="0"/>
      <w:marBottom w:val="0"/>
      <w:divBdr>
        <w:top w:val="none" w:sz="0" w:space="0" w:color="auto"/>
        <w:left w:val="none" w:sz="0" w:space="0" w:color="auto"/>
        <w:bottom w:val="none" w:sz="0" w:space="0" w:color="auto"/>
        <w:right w:val="none" w:sz="0" w:space="0" w:color="auto"/>
      </w:divBdr>
    </w:div>
    <w:div w:id="1223755246">
      <w:marLeft w:val="0"/>
      <w:marRight w:val="0"/>
      <w:marTop w:val="0"/>
      <w:marBottom w:val="0"/>
      <w:divBdr>
        <w:top w:val="none" w:sz="0" w:space="0" w:color="auto"/>
        <w:left w:val="none" w:sz="0" w:space="0" w:color="auto"/>
        <w:bottom w:val="none" w:sz="0" w:space="0" w:color="auto"/>
        <w:right w:val="none" w:sz="0" w:space="0" w:color="auto"/>
      </w:divBdr>
    </w:div>
    <w:div w:id="1223755247">
      <w:marLeft w:val="0"/>
      <w:marRight w:val="0"/>
      <w:marTop w:val="0"/>
      <w:marBottom w:val="0"/>
      <w:divBdr>
        <w:top w:val="none" w:sz="0" w:space="0" w:color="auto"/>
        <w:left w:val="none" w:sz="0" w:space="0" w:color="auto"/>
        <w:bottom w:val="none" w:sz="0" w:space="0" w:color="auto"/>
        <w:right w:val="none" w:sz="0" w:space="0" w:color="auto"/>
      </w:divBdr>
    </w:div>
    <w:div w:id="1223755248">
      <w:marLeft w:val="0"/>
      <w:marRight w:val="0"/>
      <w:marTop w:val="0"/>
      <w:marBottom w:val="0"/>
      <w:divBdr>
        <w:top w:val="none" w:sz="0" w:space="0" w:color="auto"/>
        <w:left w:val="none" w:sz="0" w:space="0" w:color="auto"/>
        <w:bottom w:val="none" w:sz="0" w:space="0" w:color="auto"/>
        <w:right w:val="none" w:sz="0" w:space="0" w:color="auto"/>
      </w:divBdr>
    </w:div>
    <w:div w:id="1223755249">
      <w:marLeft w:val="0"/>
      <w:marRight w:val="0"/>
      <w:marTop w:val="0"/>
      <w:marBottom w:val="0"/>
      <w:divBdr>
        <w:top w:val="none" w:sz="0" w:space="0" w:color="auto"/>
        <w:left w:val="none" w:sz="0" w:space="0" w:color="auto"/>
        <w:bottom w:val="none" w:sz="0" w:space="0" w:color="auto"/>
        <w:right w:val="none" w:sz="0" w:space="0" w:color="auto"/>
      </w:divBdr>
    </w:div>
    <w:div w:id="1223755250">
      <w:marLeft w:val="0"/>
      <w:marRight w:val="0"/>
      <w:marTop w:val="0"/>
      <w:marBottom w:val="0"/>
      <w:divBdr>
        <w:top w:val="none" w:sz="0" w:space="0" w:color="auto"/>
        <w:left w:val="none" w:sz="0" w:space="0" w:color="auto"/>
        <w:bottom w:val="none" w:sz="0" w:space="0" w:color="auto"/>
        <w:right w:val="none" w:sz="0" w:space="0" w:color="auto"/>
      </w:divBdr>
    </w:div>
    <w:div w:id="1223755251">
      <w:marLeft w:val="0"/>
      <w:marRight w:val="0"/>
      <w:marTop w:val="0"/>
      <w:marBottom w:val="0"/>
      <w:divBdr>
        <w:top w:val="none" w:sz="0" w:space="0" w:color="auto"/>
        <w:left w:val="none" w:sz="0" w:space="0" w:color="auto"/>
        <w:bottom w:val="none" w:sz="0" w:space="0" w:color="auto"/>
        <w:right w:val="none" w:sz="0" w:space="0" w:color="auto"/>
      </w:divBdr>
    </w:div>
    <w:div w:id="1223755252">
      <w:marLeft w:val="0"/>
      <w:marRight w:val="0"/>
      <w:marTop w:val="0"/>
      <w:marBottom w:val="0"/>
      <w:divBdr>
        <w:top w:val="none" w:sz="0" w:space="0" w:color="auto"/>
        <w:left w:val="none" w:sz="0" w:space="0" w:color="auto"/>
        <w:bottom w:val="none" w:sz="0" w:space="0" w:color="auto"/>
        <w:right w:val="none" w:sz="0" w:space="0" w:color="auto"/>
      </w:divBdr>
    </w:div>
    <w:div w:id="1223755253">
      <w:marLeft w:val="0"/>
      <w:marRight w:val="0"/>
      <w:marTop w:val="0"/>
      <w:marBottom w:val="0"/>
      <w:divBdr>
        <w:top w:val="none" w:sz="0" w:space="0" w:color="auto"/>
        <w:left w:val="none" w:sz="0" w:space="0" w:color="auto"/>
        <w:bottom w:val="none" w:sz="0" w:space="0" w:color="auto"/>
        <w:right w:val="none" w:sz="0" w:space="0" w:color="auto"/>
      </w:divBdr>
    </w:div>
    <w:div w:id="1223755254">
      <w:marLeft w:val="0"/>
      <w:marRight w:val="0"/>
      <w:marTop w:val="0"/>
      <w:marBottom w:val="0"/>
      <w:divBdr>
        <w:top w:val="none" w:sz="0" w:space="0" w:color="auto"/>
        <w:left w:val="none" w:sz="0" w:space="0" w:color="auto"/>
        <w:bottom w:val="none" w:sz="0" w:space="0" w:color="auto"/>
        <w:right w:val="none" w:sz="0" w:space="0" w:color="auto"/>
      </w:divBdr>
    </w:div>
    <w:div w:id="1223755255">
      <w:marLeft w:val="0"/>
      <w:marRight w:val="0"/>
      <w:marTop w:val="0"/>
      <w:marBottom w:val="0"/>
      <w:divBdr>
        <w:top w:val="none" w:sz="0" w:space="0" w:color="auto"/>
        <w:left w:val="none" w:sz="0" w:space="0" w:color="auto"/>
        <w:bottom w:val="none" w:sz="0" w:space="0" w:color="auto"/>
        <w:right w:val="none" w:sz="0" w:space="0" w:color="auto"/>
      </w:divBdr>
    </w:div>
    <w:div w:id="1223755256">
      <w:marLeft w:val="0"/>
      <w:marRight w:val="0"/>
      <w:marTop w:val="0"/>
      <w:marBottom w:val="0"/>
      <w:divBdr>
        <w:top w:val="none" w:sz="0" w:space="0" w:color="auto"/>
        <w:left w:val="none" w:sz="0" w:space="0" w:color="auto"/>
        <w:bottom w:val="none" w:sz="0" w:space="0" w:color="auto"/>
        <w:right w:val="none" w:sz="0" w:space="0" w:color="auto"/>
      </w:divBdr>
    </w:div>
    <w:div w:id="1223755257">
      <w:marLeft w:val="0"/>
      <w:marRight w:val="0"/>
      <w:marTop w:val="0"/>
      <w:marBottom w:val="0"/>
      <w:divBdr>
        <w:top w:val="none" w:sz="0" w:space="0" w:color="auto"/>
        <w:left w:val="none" w:sz="0" w:space="0" w:color="auto"/>
        <w:bottom w:val="none" w:sz="0" w:space="0" w:color="auto"/>
        <w:right w:val="none" w:sz="0" w:space="0" w:color="auto"/>
      </w:divBdr>
    </w:div>
    <w:div w:id="1223755258">
      <w:marLeft w:val="0"/>
      <w:marRight w:val="0"/>
      <w:marTop w:val="0"/>
      <w:marBottom w:val="0"/>
      <w:divBdr>
        <w:top w:val="none" w:sz="0" w:space="0" w:color="auto"/>
        <w:left w:val="none" w:sz="0" w:space="0" w:color="auto"/>
        <w:bottom w:val="none" w:sz="0" w:space="0" w:color="auto"/>
        <w:right w:val="none" w:sz="0" w:space="0" w:color="auto"/>
      </w:divBdr>
    </w:div>
    <w:div w:id="1223755259">
      <w:marLeft w:val="0"/>
      <w:marRight w:val="0"/>
      <w:marTop w:val="0"/>
      <w:marBottom w:val="0"/>
      <w:divBdr>
        <w:top w:val="none" w:sz="0" w:space="0" w:color="auto"/>
        <w:left w:val="none" w:sz="0" w:space="0" w:color="auto"/>
        <w:bottom w:val="none" w:sz="0" w:space="0" w:color="auto"/>
        <w:right w:val="none" w:sz="0" w:space="0" w:color="auto"/>
      </w:divBdr>
    </w:div>
    <w:div w:id="1223755260">
      <w:marLeft w:val="0"/>
      <w:marRight w:val="0"/>
      <w:marTop w:val="0"/>
      <w:marBottom w:val="0"/>
      <w:divBdr>
        <w:top w:val="none" w:sz="0" w:space="0" w:color="auto"/>
        <w:left w:val="none" w:sz="0" w:space="0" w:color="auto"/>
        <w:bottom w:val="none" w:sz="0" w:space="0" w:color="auto"/>
        <w:right w:val="none" w:sz="0" w:space="0" w:color="auto"/>
      </w:divBdr>
    </w:div>
    <w:div w:id="1223755261">
      <w:marLeft w:val="0"/>
      <w:marRight w:val="0"/>
      <w:marTop w:val="0"/>
      <w:marBottom w:val="0"/>
      <w:divBdr>
        <w:top w:val="none" w:sz="0" w:space="0" w:color="auto"/>
        <w:left w:val="none" w:sz="0" w:space="0" w:color="auto"/>
        <w:bottom w:val="none" w:sz="0" w:space="0" w:color="auto"/>
        <w:right w:val="none" w:sz="0" w:space="0" w:color="auto"/>
      </w:divBdr>
    </w:div>
    <w:div w:id="1223755262">
      <w:marLeft w:val="0"/>
      <w:marRight w:val="0"/>
      <w:marTop w:val="0"/>
      <w:marBottom w:val="0"/>
      <w:divBdr>
        <w:top w:val="none" w:sz="0" w:space="0" w:color="auto"/>
        <w:left w:val="none" w:sz="0" w:space="0" w:color="auto"/>
        <w:bottom w:val="none" w:sz="0" w:space="0" w:color="auto"/>
        <w:right w:val="none" w:sz="0" w:space="0" w:color="auto"/>
      </w:divBdr>
    </w:div>
    <w:div w:id="1223755263">
      <w:marLeft w:val="0"/>
      <w:marRight w:val="0"/>
      <w:marTop w:val="0"/>
      <w:marBottom w:val="0"/>
      <w:divBdr>
        <w:top w:val="none" w:sz="0" w:space="0" w:color="auto"/>
        <w:left w:val="none" w:sz="0" w:space="0" w:color="auto"/>
        <w:bottom w:val="none" w:sz="0" w:space="0" w:color="auto"/>
        <w:right w:val="none" w:sz="0" w:space="0" w:color="auto"/>
      </w:divBdr>
    </w:div>
    <w:div w:id="1223755264">
      <w:marLeft w:val="0"/>
      <w:marRight w:val="0"/>
      <w:marTop w:val="0"/>
      <w:marBottom w:val="0"/>
      <w:divBdr>
        <w:top w:val="none" w:sz="0" w:space="0" w:color="auto"/>
        <w:left w:val="none" w:sz="0" w:space="0" w:color="auto"/>
        <w:bottom w:val="none" w:sz="0" w:space="0" w:color="auto"/>
        <w:right w:val="none" w:sz="0" w:space="0" w:color="auto"/>
      </w:divBdr>
    </w:div>
    <w:div w:id="1223755265">
      <w:marLeft w:val="0"/>
      <w:marRight w:val="0"/>
      <w:marTop w:val="0"/>
      <w:marBottom w:val="0"/>
      <w:divBdr>
        <w:top w:val="none" w:sz="0" w:space="0" w:color="auto"/>
        <w:left w:val="none" w:sz="0" w:space="0" w:color="auto"/>
        <w:bottom w:val="none" w:sz="0" w:space="0" w:color="auto"/>
        <w:right w:val="none" w:sz="0" w:space="0" w:color="auto"/>
      </w:divBdr>
    </w:div>
    <w:div w:id="1223755266">
      <w:marLeft w:val="0"/>
      <w:marRight w:val="0"/>
      <w:marTop w:val="0"/>
      <w:marBottom w:val="0"/>
      <w:divBdr>
        <w:top w:val="none" w:sz="0" w:space="0" w:color="auto"/>
        <w:left w:val="none" w:sz="0" w:space="0" w:color="auto"/>
        <w:bottom w:val="none" w:sz="0" w:space="0" w:color="auto"/>
        <w:right w:val="none" w:sz="0" w:space="0" w:color="auto"/>
      </w:divBdr>
    </w:div>
    <w:div w:id="1223755267">
      <w:marLeft w:val="0"/>
      <w:marRight w:val="0"/>
      <w:marTop w:val="0"/>
      <w:marBottom w:val="0"/>
      <w:divBdr>
        <w:top w:val="none" w:sz="0" w:space="0" w:color="auto"/>
        <w:left w:val="none" w:sz="0" w:space="0" w:color="auto"/>
        <w:bottom w:val="none" w:sz="0" w:space="0" w:color="auto"/>
        <w:right w:val="none" w:sz="0" w:space="0" w:color="auto"/>
      </w:divBdr>
    </w:div>
    <w:div w:id="1223755268">
      <w:marLeft w:val="0"/>
      <w:marRight w:val="0"/>
      <w:marTop w:val="0"/>
      <w:marBottom w:val="0"/>
      <w:divBdr>
        <w:top w:val="none" w:sz="0" w:space="0" w:color="auto"/>
        <w:left w:val="none" w:sz="0" w:space="0" w:color="auto"/>
        <w:bottom w:val="none" w:sz="0" w:space="0" w:color="auto"/>
        <w:right w:val="none" w:sz="0" w:space="0" w:color="auto"/>
      </w:divBdr>
    </w:div>
    <w:div w:id="1223755269">
      <w:marLeft w:val="0"/>
      <w:marRight w:val="0"/>
      <w:marTop w:val="0"/>
      <w:marBottom w:val="0"/>
      <w:divBdr>
        <w:top w:val="none" w:sz="0" w:space="0" w:color="auto"/>
        <w:left w:val="none" w:sz="0" w:space="0" w:color="auto"/>
        <w:bottom w:val="none" w:sz="0" w:space="0" w:color="auto"/>
        <w:right w:val="none" w:sz="0" w:space="0" w:color="auto"/>
      </w:divBdr>
    </w:div>
    <w:div w:id="1223755270">
      <w:marLeft w:val="0"/>
      <w:marRight w:val="0"/>
      <w:marTop w:val="0"/>
      <w:marBottom w:val="0"/>
      <w:divBdr>
        <w:top w:val="none" w:sz="0" w:space="0" w:color="auto"/>
        <w:left w:val="none" w:sz="0" w:space="0" w:color="auto"/>
        <w:bottom w:val="none" w:sz="0" w:space="0" w:color="auto"/>
        <w:right w:val="none" w:sz="0" w:space="0" w:color="auto"/>
      </w:divBdr>
    </w:div>
    <w:div w:id="1223755271">
      <w:marLeft w:val="0"/>
      <w:marRight w:val="0"/>
      <w:marTop w:val="0"/>
      <w:marBottom w:val="0"/>
      <w:divBdr>
        <w:top w:val="none" w:sz="0" w:space="0" w:color="auto"/>
        <w:left w:val="none" w:sz="0" w:space="0" w:color="auto"/>
        <w:bottom w:val="none" w:sz="0" w:space="0" w:color="auto"/>
        <w:right w:val="none" w:sz="0" w:space="0" w:color="auto"/>
      </w:divBdr>
    </w:div>
    <w:div w:id="1223755272">
      <w:marLeft w:val="0"/>
      <w:marRight w:val="0"/>
      <w:marTop w:val="0"/>
      <w:marBottom w:val="0"/>
      <w:divBdr>
        <w:top w:val="none" w:sz="0" w:space="0" w:color="auto"/>
        <w:left w:val="none" w:sz="0" w:space="0" w:color="auto"/>
        <w:bottom w:val="none" w:sz="0" w:space="0" w:color="auto"/>
        <w:right w:val="none" w:sz="0" w:space="0" w:color="auto"/>
      </w:divBdr>
    </w:div>
    <w:div w:id="1223755273">
      <w:marLeft w:val="0"/>
      <w:marRight w:val="0"/>
      <w:marTop w:val="0"/>
      <w:marBottom w:val="0"/>
      <w:divBdr>
        <w:top w:val="none" w:sz="0" w:space="0" w:color="auto"/>
        <w:left w:val="none" w:sz="0" w:space="0" w:color="auto"/>
        <w:bottom w:val="none" w:sz="0" w:space="0" w:color="auto"/>
        <w:right w:val="none" w:sz="0" w:space="0" w:color="auto"/>
      </w:divBdr>
    </w:div>
    <w:div w:id="1223755274">
      <w:marLeft w:val="0"/>
      <w:marRight w:val="0"/>
      <w:marTop w:val="0"/>
      <w:marBottom w:val="0"/>
      <w:divBdr>
        <w:top w:val="none" w:sz="0" w:space="0" w:color="auto"/>
        <w:left w:val="none" w:sz="0" w:space="0" w:color="auto"/>
        <w:bottom w:val="none" w:sz="0" w:space="0" w:color="auto"/>
        <w:right w:val="none" w:sz="0" w:space="0" w:color="auto"/>
      </w:divBdr>
    </w:div>
    <w:div w:id="1223755275">
      <w:marLeft w:val="0"/>
      <w:marRight w:val="0"/>
      <w:marTop w:val="0"/>
      <w:marBottom w:val="0"/>
      <w:divBdr>
        <w:top w:val="none" w:sz="0" w:space="0" w:color="auto"/>
        <w:left w:val="none" w:sz="0" w:space="0" w:color="auto"/>
        <w:bottom w:val="none" w:sz="0" w:space="0" w:color="auto"/>
        <w:right w:val="none" w:sz="0" w:space="0" w:color="auto"/>
      </w:divBdr>
    </w:div>
    <w:div w:id="1223755276">
      <w:marLeft w:val="0"/>
      <w:marRight w:val="0"/>
      <w:marTop w:val="0"/>
      <w:marBottom w:val="0"/>
      <w:divBdr>
        <w:top w:val="none" w:sz="0" w:space="0" w:color="auto"/>
        <w:left w:val="none" w:sz="0" w:space="0" w:color="auto"/>
        <w:bottom w:val="none" w:sz="0" w:space="0" w:color="auto"/>
        <w:right w:val="none" w:sz="0" w:space="0" w:color="auto"/>
      </w:divBdr>
    </w:div>
    <w:div w:id="1223755277">
      <w:marLeft w:val="0"/>
      <w:marRight w:val="0"/>
      <w:marTop w:val="0"/>
      <w:marBottom w:val="0"/>
      <w:divBdr>
        <w:top w:val="none" w:sz="0" w:space="0" w:color="auto"/>
        <w:left w:val="none" w:sz="0" w:space="0" w:color="auto"/>
        <w:bottom w:val="none" w:sz="0" w:space="0" w:color="auto"/>
        <w:right w:val="none" w:sz="0" w:space="0" w:color="auto"/>
      </w:divBdr>
    </w:div>
    <w:div w:id="1223755278">
      <w:marLeft w:val="0"/>
      <w:marRight w:val="0"/>
      <w:marTop w:val="0"/>
      <w:marBottom w:val="0"/>
      <w:divBdr>
        <w:top w:val="none" w:sz="0" w:space="0" w:color="auto"/>
        <w:left w:val="none" w:sz="0" w:space="0" w:color="auto"/>
        <w:bottom w:val="none" w:sz="0" w:space="0" w:color="auto"/>
        <w:right w:val="none" w:sz="0" w:space="0" w:color="auto"/>
      </w:divBdr>
    </w:div>
    <w:div w:id="1223755279">
      <w:marLeft w:val="0"/>
      <w:marRight w:val="0"/>
      <w:marTop w:val="0"/>
      <w:marBottom w:val="0"/>
      <w:divBdr>
        <w:top w:val="none" w:sz="0" w:space="0" w:color="auto"/>
        <w:left w:val="none" w:sz="0" w:space="0" w:color="auto"/>
        <w:bottom w:val="none" w:sz="0" w:space="0" w:color="auto"/>
        <w:right w:val="none" w:sz="0" w:space="0" w:color="auto"/>
      </w:divBdr>
    </w:div>
    <w:div w:id="1223755280">
      <w:marLeft w:val="0"/>
      <w:marRight w:val="0"/>
      <w:marTop w:val="0"/>
      <w:marBottom w:val="0"/>
      <w:divBdr>
        <w:top w:val="none" w:sz="0" w:space="0" w:color="auto"/>
        <w:left w:val="none" w:sz="0" w:space="0" w:color="auto"/>
        <w:bottom w:val="none" w:sz="0" w:space="0" w:color="auto"/>
        <w:right w:val="none" w:sz="0" w:space="0" w:color="auto"/>
      </w:divBdr>
    </w:div>
    <w:div w:id="1223755281">
      <w:marLeft w:val="0"/>
      <w:marRight w:val="0"/>
      <w:marTop w:val="0"/>
      <w:marBottom w:val="0"/>
      <w:divBdr>
        <w:top w:val="none" w:sz="0" w:space="0" w:color="auto"/>
        <w:left w:val="none" w:sz="0" w:space="0" w:color="auto"/>
        <w:bottom w:val="none" w:sz="0" w:space="0" w:color="auto"/>
        <w:right w:val="none" w:sz="0" w:space="0" w:color="auto"/>
      </w:divBdr>
    </w:div>
    <w:div w:id="1223755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closure.1prime.ru/Portal/Default.aspx?emId=63152229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araenergo.ru/stockholder/fa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05A00-1385-47C0-BBFD-5D854A86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Приложение 15</vt:lpstr>
    </vt:vector>
  </TitlesOfParts>
  <Company>СамараЭнерго</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15</dc:title>
  <dc:creator>tstest</dc:creator>
  <cp:lastModifiedBy>tstest</cp:lastModifiedBy>
  <cp:revision>1</cp:revision>
  <cp:lastPrinted>2015-04-29T06:55:00Z</cp:lastPrinted>
  <dcterms:created xsi:type="dcterms:W3CDTF">2016-04-25T12:06:00Z</dcterms:created>
  <dcterms:modified xsi:type="dcterms:W3CDTF">2016-04-25T12:12:00Z</dcterms:modified>
</cp:coreProperties>
</file>