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644"/>
        <w:gridCol w:w="256"/>
        <w:gridCol w:w="1587"/>
        <w:gridCol w:w="3657"/>
        <w:gridCol w:w="28"/>
      </w:tblGrid>
      <w:tr w:rsidR="00A13C5C" w:rsidRPr="00C371B8" w:rsidTr="00066CC1">
        <w:tc>
          <w:tcPr>
            <w:tcW w:w="10376" w:type="dxa"/>
            <w:gridSpan w:val="10"/>
          </w:tcPr>
          <w:p w:rsidR="00A13C5C" w:rsidRPr="00C371B8" w:rsidRDefault="00A13C5C">
            <w:pPr>
              <w:jc w:val="center"/>
              <w:rPr>
                <w:sz w:val="24"/>
                <w:szCs w:val="24"/>
              </w:rPr>
            </w:pPr>
            <w:r w:rsidRPr="00C371B8">
              <w:rPr>
                <w:sz w:val="24"/>
                <w:szCs w:val="24"/>
              </w:rPr>
              <w:t>1. Общие сведения</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72" w:type="dxa"/>
            <w:gridSpan w:val="3"/>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72" w:type="dxa"/>
            <w:gridSpan w:val="3"/>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72" w:type="dxa"/>
            <w:gridSpan w:val="3"/>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72" w:type="dxa"/>
            <w:gridSpan w:val="3"/>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72" w:type="dxa"/>
            <w:gridSpan w:val="3"/>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72" w:type="dxa"/>
            <w:gridSpan w:val="3"/>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066CC1">
        <w:tc>
          <w:tcPr>
            <w:tcW w:w="5104"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72" w:type="dxa"/>
            <w:gridSpan w:val="3"/>
          </w:tcPr>
          <w:p w:rsidR="00BE3D8E" w:rsidRPr="00C371B8" w:rsidRDefault="00B60EB9" w:rsidP="00212E5F">
            <w:pPr>
              <w:ind w:left="85" w:right="85"/>
              <w:jc w:val="both"/>
              <w:rPr>
                <w:color w:val="000000" w:themeColor="text1"/>
                <w:sz w:val="24"/>
                <w:szCs w:val="24"/>
              </w:rPr>
            </w:pPr>
            <w:hyperlink r:id="rId6" w:history="1">
              <w:r w:rsidR="002F5740" w:rsidRPr="00C371B8">
                <w:rPr>
                  <w:rStyle w:val="a9"/>
                  <w:color w:val="000000" w:themeColor="text1"/>
                  <w:sz w:val="24"/>
                  <w:szCs w:val="24"/>
                  <w:lang w:val="en-US"/>
                </w:rPr>
                <w:t>www</w:t>
              </w:r>
              <w:r w:rsidR="002F5740" w:rsidRPr="00C371B8">
                <w:rPr>
                  <w:rStyle w:val="a9"/>
                  <w:color w:val="000000" w:themeColor="text1"/>
                  <w:sz w:val="24"/>
                  <w:szCs w:val="24"/>
                </w:rPr>
                <w:t>.</w:t>
              </w:r>
              <w:r w:rsidR="002F5740" w:rsidRPr="00C371B8">
                <w:rPr>
                  <w:rStyle w:val="a9"/>
                  <w:color w:val="000000" w:themeColor="text1"/>
                  <w:sz w:val="24"/>
                  <w:szCs w:val="24"/>
                  <w:lang w:val="en-US"/>
                </w:rPr>
                <w:t>disclosure</w:t>
              </w:r>
              <w:r w:rsidR="002F5740" w:rsidRPr="00C371B8">
                <w:rPr>
                  <w:rStyle w:val="a9"/>
                  <w:color w:val="000000" w:themeColor="text1"/>
                  <w:sz w:val="24"/>
                  <w:szCs w:val="24"/>
                </w:rPr>
                <w:t>.1</w:t>
              </w:r>
              <w:r w:rsidR="002F5740" w:rsidRPr="00C371B8">
                <w:rPr>
                  <w:rStyle w:val="a9"/>
                  <w:color w:val="000000" w:themeColor="text1"/>
                  <w:sz w:val="24"/>
                  <w:szCs w:val="24"/>
                  <w:lang w:val="en-US"/>
                </w:rPr>
                <w:t>prime</w:t>
              </w:r>
              <w:r w:rsidR="002F5740" w:rsidRPr="00C371B8">
                <w:rPr>
                  <w:rStyle w:val="a9"/>
                  <w:color w:val="000000" w:themeColor="text1"/>
                  <w:sz w:val="24"/>
                  <w:szCs w:val="24"/>
                </w:rPr>
                <w:t>.</w:t>
              </w:r>
              <w:r w:rsidR="002F5740" w:rsidRPr="00C371B8">
                <w:rPr>
                  <w:rStyle w:val="a9"/>
                  <w:color w:val="000000" w:themeColor="text1"/>
                  <w:sz w:val="24"/>
                  <w:szCs w:val="24"/>
                  <w:lang w:val="en-US"/>
                </w:rPr>
                <w:t>ru</w:t>
              </w:r>
              <w:r w:rsidR="002F5740" w:rsidRPr="00C371B8">
                <w:rPr>
                  <w:rStyle w:val="a9"/>
                  <w:color w:val="000000" w:themeColor="text1"/>
                  <w:sz w:val="24"/>
                  <w:szCs w:val="24"/>
                </w:rPr>
                <w:t>/</w:t>
              </w:r>
              <w:r w:rsidR="002F5740" w:rsidRPr="00C371B8">
                <w:rPr>
                  <w:rStyle w:val="a9"/>
                  <w:color w:val="000000" w:themeColor="text1"/>
                  <w:sz w:val="24"/>
                  <w:szCs w:val="24"/>
                  <w:lang w:val="en-US"/>
                </w:rPr>
                <w:t>Portal</w:t>
              </w:r>
              <w:r w:rsidR="002F5740" w:rsidRPr="00C371B8">
                <w:rPr>
                  <w:rStyle w:val="a9"/>
                  <w:color w:val="000000" w:themeColor="text1"/>
                  <w:sz w:val="24"/>
                  <w:szCs w:val="24"/>
                </w:rPr>
                <w:t>/</w:t>
              </w:r>
              <w:r w:rsidR="002F5740" w:rsidRPr="00C371B8">
                <w:rPr>
                  <w:rStyle w:val="a9"/>
                  <w:color w:val="000000" w:themeColor="text1"/>
                  <w:sz w:val="24"/>
                  <w:szCs w:val="24"/>
                  <w:lang w:val="en-US"/>
                </w:rPr>
                <w:t>Default</w:t>
              </w:r>
              <w:r w:rsidR="002F5740" w:rsidRPr="00C371B8">
                <w:rPr>
                  <w:rStyle w:val="a9"/>
                  <w:color w:val="000000" w:themeColor="text1"/>
                  <w:sz w:val="24"/>
                  <w:szCs w:val="24"/>
                </w:rPr>
                <w:t>.</w:t>
              </w:r>
              <w:r w:rsidR="002F5740" w:rsidRPr="00C371B8">
                <w:rPr>
                  <w:rStyle w:val="a9"/>
                  <w:color w:val="000000" w:themeColor="text1"/>
                  <w:sz w:val="24"/>
                  <w:szCs w:val="24"/>
                  <w:lang w:val="en-US"/>
                </w:rPr>
                <w:t>aspx</w:t>
              </w:r>
              <w:r w:rsidR="002F5740" w:rsidRPr="00C371B8">
                <w:rPr>
                  <w:rStyle w:val="a9"/>
                  <w:color w:val="000000" w:themeColor="text1"/>
                  <w:sz w:val="24"/>
                  <w:szCs w:val="24"/>
                </w:rPr>
                <w:t>?</w:t>
              </w:r>
              <w:r w:rsidR="002F5740" w:rsidRPr="00C371B8">
                <w:rPr>
                  <w:rStyle w:val="a9"/>
                  <w:color w:val="000000" w:themeColor="text1"/>
                  <w:sz w:val="24"/>
                  <w:szCs w:val="24"/>
                  <w:lang w:val="en-US"/>
                </w:rPr>
                <w:t>emId</w:t>
              </w:r>
              <w:r w:rsidR="002F5740" w:rsidRPr="00C371B8">
                <w:rPr>
                  <w:rStyle w:val="a9"/>
                  <w:color w:val="000000" w:themeColor="text1"/>
                  <w:sz w:val="24"/>
                  <w:szCs w:val="24"/>
                </w:rPr>
                <w:t>=6315222985</w:t>
              </w:r>
            </w:hyperlink>
          </w:p>
          <w:p w:rsidR="004D2CB3" w:rsidRPr="00C371B8" w:rsidRDefault="00EC7B9F" w:rsidP="004D2CB3">
            <w:pPr>
              <w:ind w:left="85" w:right="85"/>
              <w:jc w:val="both"/>
              <w:rPr>
                <w:sz w:val="24"/>
                <w:szCs w:val="24"/>
              </w:rPr>
            </w:pPr>
            <w:r w:rsidRPr="00C371B8">
              <w:rPr>
                <w:color w:val="000000"/>
                <w:sz w:val="24"/>
                <w:szCs w:val="24"/>
              </w:rPr>
              <w:t>http://www.samaraenergo.ru/stockholder/facts/</w:t>
            </w:r>
          </w:p>
        </w:tc>
      </w:tr>
      <w:tr w:rsidR="00A13C5C" w:rsidRPr="00C371B8" w:rsidTr="00066CC1">
        <w:trPr>
          <w:trHeight w:val="340"/>
        </w:trPr>
        <w:tc>
          <w:tcPr>
            <w:tcW w:w="10376" w:type="dxa"/>
            <w:gridSpan w:val="10"/>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066CC1">
        <w:tc>
          <w:tcPr>
            <w:tcW w:w="10376" w:type="dxa"/>
            <w:gridSpan w:val="10"/>
          </w:tcPr>
          <w:p w:rsidR="00C371B8" w:rsidRPr="00066CC1" w:rsidRDefault="00C371B8" w:rsidP="00250A82">
            <w:pPr>
              <w:jc w:val="both"/>
              <w:rPr>
                <w:sz w:val="23"/>
                <w:szCs w:val="23"/>
              </w:rPr>
            </w:pPr>
            <w:r w:rsidRPr="00066CC1">
              <w:rPr>
                <w:b/>
                <w:sz w:val="23"/>
                <w:szCs w:val="23"/>
              </w:rPr>
              <w:t>2. Содержание сообщения</w:t>
            </w:r>
            <w:r w:rsidRPr="00066CC1">
              <w:rPr>
                <w:sz w:val="23"/>
                <w:szCs w:val="23"/>
              </w:rPr>
              <w:t xml:space="preserve"> </w:t>
            </w:r>
          </w:p>
          <w:p w:rsidR="00C371B8" w:rsidRPr="00066CC1" w:rsidRDefault="00C371B8" w:rsidP="00C371B8">
            <w:pPr>
              <w:tabs>
                <w:tab w:val="num" w:pos="1080"/>
              </w:tabs>
              <w:jc w:val="both"/>
              <w:rPr>
                <w:b/>
                <w:sz w:val="23"/>
                <w:szCs w:val="23"/>
              </w:rPr>
            </w:pPr>
            <w:r w:rsidRPr="00066CC1">
              <w:rPr>
                <w:b/>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066CC1">
              <w:rPr>
                <w:sz w:val="23"/>
                <w:szCs w:val="23"/>
              </w:rPr>
              <w:t xml:space="preserve"> </w:t>
            </w:r>
            <w:r w:rsidR="00ED3270" w:rsidRPr="00066CC1">
              <w:rPr>
                <w:smallCaps/>
                <w:sz w:val="23"/>
                <w:szCs w:val="23"/>
              </w:rPr>
              <w:t>Лакезиа Инвестментс Лимитед</w:t>
            </w:r>
            <w:r w:rsidRPr="00066CC1">
              <w:rPr>
                <w:sz w:val="23"/>
                <w:szCs w:val="23"/>
              </w:rPr>
              <w:t xml:space="preserve"> </w:t>
            </w:r>
            <w:r w:rsidR="00C52A1B" w:rsidRPr="00066CC1">
              <w:rPr>
                <w:sz w:val="23"/>
                <w:szCs w:val="23"/>
              </w:rPr>
              <w:t>(</w:t>
            </w:r>
            <w:r w:rsidR="00ED3270" w:rsidRPr="00066CC1">
              <w:rPr>
                <w:sz w:val="23"/>
                <w:szCs w:val="23"/>
              </w:rPr>
              <w:t>LAKESEA INVESTMENTS LIMITED</w:t>
            </w:r>
            <w:r w:rsidR="00C52A1B" w:rsidRPr="00066CC1">
              <w:rPr>
                <w:sz w:val="23"/>
                <w:szCs w:val="23"/>
              </w:rPr>
              <w:t xml:space="preserve">), </w:t>
            </w:r>
            <w:r w:rsidR="009834AF" w:rsidRPr="00066CC1">
              <w:rPr>
                <w:sz w:val="23"/>
                <w:szCs w:val="23"/>
              </w:rPr>
              <w:t>(</w:t>
            </w:r>
            <w:r w:rsidR="00ED3270" w:rsidRPr="00066CC1">
              <w:rPr>
                <w:sz w:val="23"/>
                <w:szCs w:val="23"/>
              </w:rPr>
              <w:t>Иоанни Стилиану, 6, 2 этаж, квартира/офис 202, 2003, Никосия, Кипр</w:t>
            </w:r>
            <w:r w:rsidRPr="00066CC1">
              <w:rPr>
                <w:sz w:val="23"/>
                <w:szCs w:val="23"/>
              </w:rPr>
              <w:t>)</w:t>
            </w:r>
            <w:r w:rsidR="00C52A1B" w:rsidRPr="00066CC1">
              <w:rPr>
                <w:sz w:val="23"/>
                <w:szCs w:val="23"/>
              </w:rPr>
              <w:t>,</w:t>
            </w:r>
            <w:r w:rsidRPr="00066CC1">
              <w:rPr>
                <w:sz w:val="23"/>
                <w:szCs w:val="23"/>
              </w:rPr>
              <w:t xml:space="preserve"> </w:t>
            </w:r>
            <w:r w:rsidR="00C52A1B" w:rsidRPr="00066CC1">
              <w:rPr>
                <w:sz w:val="23"/>
                <w:szCs w:val="23"/>
              </w:rPr>
              <w:t xml:space="preserve">рег. номер </w:t>
            </w:r>
            <w:r w:rsidR="00ED3270" w:rsidRPr="00066CC1">
              <w:rPr>
                <w:sz w:val="23"/>
                <w:szCs w:val="23"/>
              </w:rPr>
              <w:t>НЕ 227786</w:t>
            </w:r>
          </w:p>
          <w:p w:rsidR="00ED3270" w:rsidRPr="00066CC1" w:rsidRDefault="00C371B8" w:rsidP="00ED3270">
            <w:pPr>
              <w:pStyle w:val="ConsPlusNormal"/>
              <w:jc w:val="both"/>
              <w:rPr>
                <w:sz w:val="23"/>
                <w:szCs w:val="23"/>
              </w:rPr>
            </w:pPr>
            <w:r w:rsidRPr="00066CC1">
              <w:rPr>
                <w:sz w:val="23"/>
                <w:szCs w:val="23"/>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Pr="00066CC1">
              <w:rPr>
                <w:b w:val="0"/>
                <w:sz w:val="23"/>
                <w:szCs w:val="23"/>
              </w:rPr>
              <w:t xml:space="preserve"> прямо</w:t>
            </w:r>
            <w:r w:rsidR="009834AF" w:rsidRPr="00066CC1">
              <w:rPr>
                <w:b w:val="0"/>
                <w:sz w:val="23"/>
                <w:szCs w:val="23"/>
              </w:rPr>
              <w:t>е распоряжение.</w:t>
            </w:r>
            <w:r w:rsidRPr="00066CC1">
              <w:rPr>
                <w:sz w:val="23"/>
                <w:szCs w:val="23"/>
              </w:rP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066CC1">
              <w:rPr>
                <w:b w:val="0"/>
                <w:sz w:val="23"/>
                <w:szCs w:val="23"/>
              </w:rPr>
              <w:t>самостоятельное распоряжение.</w:t>
            </w:r>
            <w:r w:rsidRPr="00066CC1">
              <w:rPr>
                <w:sz w:val="23"/>
                <w:szCs w:val="23"/>
              </w:rPr>
              <w:t xml:space="preserve"> </w:t>
            </w:r>
            <w:r w:rsidRPr="00066CC1">
              <w:rPr>
                <w:sz w:val="23"/>
                <w:szCs w:val="23"/>
              </w:rPr>
              <w:b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00ED3270" w:rsidRPr="00066CC1">
              <w:rPr>
                <w:b w:val="0"/>
                <w:sz w:val="23"/>
                <w:szCs w:val="23"/>
              </w:rPr>
              <w:t>расторжение по иным основаниям договора доверительного управления имуществом</w:t>
            </w:r>
          </w:p>
          <w:p w:rsidR="00A13C5C" w:rsidRPr="00C371B8" w:rsidRDefault="00C371B8" w:rsidP="00ED3270">
            <w:pPr>
              <w:jc w:val="both"/>
              <w:rPr>
                <w:b/>
                <w:color w:val="000000"/>
                <w:sz w:val="24"/>
                <w:szCs w:val="24"/>
              </w:rPr>
            </w:pPr>
            <w:r w:rsidRPr="00066CC1">
              <w:rPr>
                <w:b/>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066CC1">
              <w:rPr>
                <w:sz w:val="23"/>
                <w:szCs w:val="23"/>
              </w:rPr>
              <w:t xml:space="preserve">: </w:t>
            </w:r>
            <w:r w:rsidR="00C52A1B" w:rsidRPr="00066CC1">
              <w:rPr>
                <w:sz w:val="23"/>
                <w:szCs w:val="23"/>
              </w:rPr>
              <w:t>0</w:t>
            </w:r>
            <w:r w:rsidR="00ED3270" w:rsidRPr="00066CC1">
              <w:rPr>
                <w:sz w:val="23"/>
                <w:szCs w:val="23"/>
              </w:rPr>
              <w:t xml:space="preserve"> голосующих акций</w:t>
            </w:r>
            <w:r w:rsidRPr="00066CC1">
              <w:rPr>
                <w:sz w:val="23"/>
                <w:szCs w:val="23"/>
              </w:rPr>
              <w:t xml:space="preserve"> </w:t>
            </w:r>
            <w:r w:rsidR="00ED3270" w:rsidRPr="00066CC1">
              <w:rPr>
                <w:sz w:val="23"/>
                <w:szCs w:val="23"/>
              </w:rPr>
              <w:t>(</w:t>
            </w:r>
            <w:r w:rsidR="00C52A1B" w:rsidRPr="00066CC1">
              <w:rPr>
                <w:sz w:val="23"/>
                <w:szCs w:val="23"/>
              </w:rPr>
              <w:t>0</w:t>
            </w:r>
            <w:r w:rsidRPr="00066CC1">
              <w:rPr>
                <w:sz w:val="23"/>
                <w:szCs w:val="23"/>
              </w:rPr>
              <w:t xml:space="preserve"> %</w:t>
            </w:r>
            <w:r w:rsidR="00ED3270" w:rsidRPr="00066CC1">
              <w:rPr>
                <w:sz w:val="23"/>
                <w:szCs w:val="23"/>
              </w:rPr>
              <w:t>)</w:t>
            </w:r>
            <w:r w:rsidRPr="00066CC1">
              <w:rPr>
                <w:sz w:val="23"/>
                <w:szCs w:val="23"/>
              </w:rPr>
              <w:t xml:space="preserve">. </w:t>
            </w:r>
            <w:r w:rsidRPr="00066CC1">
              <w:rPr>
                <w:sz w:val="23"/>
                <w:szCs w:val="23"/>
              </w:rPr>
              <w:br/>
            </w:r>
            <w:r w:rsidRPr="00066CC1">
              <w:rPr>
                <w:b/>
                <w:sz w:val="23"/>
                <w:szCs w:val="23"/>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Pr="00066CC1">
              <w:rPr>
                <w:sz w:val="23"/>
                <w:szCs w:val="23"/>
              </w:rPr>
              <w:t xml:space="preserve"> </w:t>
            </w:r>
            <w:r w:rsidR="00ED3270" w:rsidRPr="00066CC1">
              <w:rPr>
                <w:sz w:val="23"/>
                <w:szCs w:val="23"/>
              </w:rPr>
              <w:t>672 400 000</w:t>
            </w:r>
            <w:r w:rsidR="00C52A1B" w:rsidRPr="00066CC1">
              <w:rPr>
                <w:sz w:val="23"/>
                <w:szCs w:val="23"/>
              </w:rPr>
              <w:t xml:space="preserve"> штук обыкновенных</w:t>
            </w:r>
            <w:r w:rsidRPr="00066CC1">
              <w:rPr>
                <w:sz w:val="23"/>
                <w:szCs w:val="23"/>
              </w:rPr>
              <w:t xml:space="preserve"> акций </w:t>
            </w:r>
            <w:r w:rsidR="00ED3270" w:rsidRPr="00066CC1">
              <w:rPr>
                <w:sz w:val="23"/>
                <w:szCs w:val="23"/>
              </w:rPr>
              <w:t>(19</w:t>
            </w:r>
            <w:r w:rsidRPr="00066CC1">
              <w:rPr>
                <w:sz w:val="23"/>
                <w:szCs w:val="23"/>
              </w:rPr>
              <w:t xml:space="preserve"> %</w:t>
            </w:r>
            <w:r w:rsidR="00ED3270" w:rsidRPr="00066CC1">
              <w:rPr>
                <w:sz w:val="23"/>
                <w:szCs w:val="23"/>
              </w:rPr>
              <w:t>).</w:t>
            </w:r>
            <w:r w:rsidRPr="00066CC1">
              <w:rPr>
                <w:sz w:val="23"/>
                <w:szCs w:val="23"/>
              </w:rPr>
              <w:br/>
            </w:r>
            <w:r w:rsidRPr="00066CC1">
              <w:rPr>
                <w:b/>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066CC1">
              <w:rPr>
                <w:sz w:val="23"/>
                <w:szCs w:val="23"/>
              </w:rPr>
              <w:t>2</w:t>
            </w:r>
            <w:r w:rsidR="00ED3270" w:rsidRPr="00066CC1">
              <w:rPr>
                <w:sz w:val="23"/>
                <w:szCs w:val="23"/>
              </w:rPr>
              <w:t xml:space="preserve">7 </w:t>
            </w:r>
            <w:r w:rsidR="00C52A1B" w:rsidRPr="00066CC1">
              <w:rPr>
                <w:sz w:val="23"/>
                <w:szCs w:val="23"/>
              </w:rPr>
              <w:t>ию</w:t>
            </w:r>
            <w:r w:rsidR="009834AF" w:rsidRPr="00066CC1">
              <w:rPr>
                <w:sz w:val="23"/>
                <w:szCs w:val="23"/>
              </w:rPr>
              <w:t>н</w:t>
            </w:r>
            <w:r w:rsidRPr="00066CC1">
              <w:rPr>
                <w:sz w:val="23"/>
                <w:szCs w:val="23"/>
              </w:rPr>
              <w:t>я 201</w:t>
            </w:r>
            <w:r w:rsidR="00C52A1B" w:rsidRPr="00066CC1">
              <w:rPr>
                <w:sz w:val="23"/>
                <w:szCs w:val="23"/>
              </w:rPr>
              <w:t>6</w:t>
            </w:r>
            <w:r w:rsidRPr="00066CC1">
              <w:rPr>
                <w:sz w:val="23"/>
                <w:szCs w:val="23"/>
              </w:rPr>
              <w:t xml:space="preserve"> года.</w:t>
            </w:r>
          </w:p>
        </w:tc>
      </w:tr>
      <w:tr w:rsidR="00622BB8" w:rsidRPr="005050C9" w:rsidTr="00066CC1">
        <w:trPr>
          <w:gridAfter w:val="1"/>
          <w:wAfter w:w="28" w:type="dxa"/>
        </w:trPr>
        <w:tc>
          <w:tcPr>
            <w:tcW w:w="10348" w:type="dxa"/>
            <w:gridSpan w:val="9"/>
          </w:tcPr>
          <w:p w:rsidR="00622BB8" w:rsidRPr="00066CC1" w:rsidRDefault="00622BB8" w:rsidP="00FD09FF">
            <w:pPr>
              <w:jc w:val="center"/>
              <w:rPr>
                <w:sz w:val="24"/>
                <w:szCs w:val="28"/>
              </w:rPr>
            </w:pPr>
            <w:r w:rsidRPr="00066CC1">
              <w:rPr>
                <w:sz w:val="24"/>
                <w:szCs w:val="28"/>
              </w:rPr>
              <w:t>3. Подписи</w:t>
            </w:r>
          </w:p>
        </w:tc>
      </w:tr>
      <w:tr w:rsidR="00597284" w:rsidRPr="005050C9" w:rsidTr="00066CC1">
        <w:trPr>
          <w:gridAfter w:val="1"/>
          <w:wAfter w:w="28" w:type="dxa"/>
          <w:cantSplit/>
          <w:trHeight w:val="278"/>
        </w:trPr>
        <w:tc>
          <w:tcPr>
            <w:tcW w:w="4848" w:type="dxa"/>
            <w:gridSpan w:val="6"/>
          </w:tcPr>
          <w:p w:rsidR="00FD724E" w:rsidRPr="00066CC1" w:rsidRDefault="000E0D43" w:rsidP="00455B99">
            <w:pPr>
              <w:spacing w:before="20"/>
              <w:rPr>
                <w:sz w:val="24"/>
                <w:szCs w:val="28"/>
              </w:rPr>
            </w:pPr>
            <w:r w:rsidRPr="00066CC1">
              <w:rPr>
                <w:sz w:val="24"/>
                <w:szCs w:val="28"/>
              </w:rPr>
              <w:t>3.1. Г</w:t>
            </w:r>
            <w:r w:rsidR="00455B99" w:rsidRPr="00066CC1">
              <w:rPr>
                <w:sz w:val="24"/>
                <w:szCs w:val="28"/>
              </w:rPr>
              <w:t>енеральн</w:t>
            </w:r>
            <w:r w:rsidRPr="00066CC1">
              <w:rPr>
                <w:sz w:val="24"/>
                <w:szCs w:val="28"/>
              </w:rPr>
              <w:t>ый</w:t>
            </w:r>
            <w:r w:rsidR="00455B99" w:rsidRPr="00066CC1">
              <w:rPr>
                <w:sz w:val="24"/>
                <w:szCs w:val="28"/>
              </w:rPr>
              <w:t xml:space="preserve"> директор</w:t>
            </w:r>
          </w:p>
          <w:p w:rsidR="00597284" w:rsidRPr="00066CC1" w:rsidRDefault="00831E34" w:rsidP="00FD724E">
            <w:pPr>
              <w:spacing w:before="20"/>
              <w:rPr>
                <w:sz w:val="24"/>
                <w:szCs w:val="28"/>
              </w:rPr>
            </w:pPr>
            <w:r w:rsidRPr="00066CC1">
              <w:rPr>
                <w:sz w:val="24"/>
                <w:szCs w:val="28"/>
              </w:rPr>
              <w:t xml:space="preserve"> </w:t>
            </w:r>
            <w:r w:rsidR="00FD724E" w:rsidRPr="00066CC1">
              <w:rPr>
                <w:sz w:val="24"/>
                <w:szCs w:val="28"/>
              </w:rPr>
              <w:t>П</w:t>
            </w:r>
            <w:r w:rsidRPr="00066CC1">
              <w:rPr>
                <w:sz w:val="24"/>
                <w:szCs w:val="28"/>
              </w:rPr>
              <w:t>АО «Самараэнерго»</w:t>
            </w:r>
          </w:p>
        </w:tc>
        <w:tc>
          <w:tcPr>
            <w:tcW w:w="1843" w:type="dxa"/>
            <w:gridSpan w:val="2"/>
          </w:tcPr>
          <w:p w:rsidR="00597284" w:rsidRPr="00066CC1" w:rsidRDefault="00597284" w:rsidP="00FD09FF">
            <w:pPr>
              <w:spacing w:before="20"/>
              <w:rPr>
                <w:sz w:val="24"/>
                <w:szCs w:val="28"/>
              </w:rPr>
            </w:pPr>
          </w:p>
          <w:p w:rsidR="003C48AC" w:rsidRPr="00066CC1" w:rsidRDefault="003C48AC" w:rsidP="00FD09FF">
            <w:pPr>
              <w:spacing w:before="20"/>
              <w:rPr>
                <w:sz w:val="24"/>
                <w:szCs w:val="28"/>
              </w:rPr>
            </w:pPr>
          </w:p>
        </w:tc>
        <w:tc>
          <w:tcPr>
            <w:tcW w:w="3657" w:type="dxa"/>
          </w:tcPr>
          <w:p w:rsidR="00597284" w:rsidRPr="00066CC1" w:rsidRDefault="000E0D43" w:rsidP="00455B99">
            <w:pPr>
              <w:spacing w:before="20"/>
              <w:rPr>
                <w:sz w:val="24"/>
                <w:szCs w:val="28"/>
              </w:rPr>
            </w:pPr>
            <w:r w:rsidRPr="00066CC1">
              <w:rPr>
                <w:sz w:val="24"/>
                <w:szCs w:val="28"/>
              </w:rPr>
              <w:t>О.А. Дербенев</w:t>
            </w:r>
          </w:p>
        </w:tc>
      </w:tr>
      <w:tr w:rsidR="00597284" w:rsidRPr="005050C9" w:rsidTr="00066CC1">
        <w:trPr>
          <w:gridAfter w:val="1"/>
          <w:wAfter w:w="28" w:type="dxa"/>
          <w:cantSplit/>
          <w:trHeight w:val="410"/>
        </w:trPr>
        <w:tc>
          <w:tcPr>
            <w:tcW w:w="1418" w:type="dxa"/>
            <w:vAlign w:val="bottom"/>
          </w:tcPr>
          <w:p w:rsidR="00597284" w:rsidRPr="00066CC1" w:rsidRDefault="00455B99" w:rsidP="00F76464">
            <w:pPr>
              <w:ind w:left="57" w:hanging="57"/>
              <w:rPr>
                <w:sz w:val="24"/>
                <w:szCs w:val="28"/>
              </w:rPr>
            </w:pPr>
            <w:r w:rsidRPr="00066CC1">
              <w:rPr>
                <w:sz w:val="24"/>
                <w:szCs w:val="28"/>
              </w:rPr>
              <w:t>3.2. Дата "</w:t>
            </w:r>
          </w:p>
        </w:tc>
        <w:tc>
          <w:tcPr>
            <w:tcW w:w="425" w:type="dxa"/>
            <w:vAlign w:val="bottom"/>
          </w:tcPr>
          <w:p w:rsidR="00597284" w:rsidRPr="00066CC1" w:rsidRDefault="00464D0F" w:rsidP="00066CC1">
            <w:pPr>
              <w:jc w:val="center"/>
              <w:rPr>
                <w:sz w:val="24"/>
                <w:szCs w:val="28"/>
              </w:rPr>
            </w:pPr>
            <w:r w:rsidRPr="00066CC1">
              <w:rPr>
                <w:sz w:val="24"/>
                <w:szCs w:val="28"/>
              </w:rPr>
              <w:t>1</w:t>
            </w:r>
            <w:r w:rsidR="00066CC1">
              <w:rPr>
                <w:sz w:val="24"/>
                <w:szCs w:val="28"/>
              </w:rPr>
              <w:t>1</w:t>
            </w:r>
            <w:bookmarkStart w:id="0" w:name="_GoBack"/>
            <w:bookmarkEnd w:id="0"/>
          </w:p>
        </w:tc>
        <w:tc>
          <w:tcPr>
            <w:tcW w:w="284" w:type="dxa"/>
            <w:vAlign w:val="bottom"/>
          </w:tcPr>
          <w:p w:rsidR="00597284" w:rsidRPr="00066CC1" w:rsidRDefault="00455B99" w:rsidP="00FD09FF">
            <w:pPr>
              <w:rPr>
                <w:sz w:val="24"/>
                <w:szCs w:val="28"/>
              </w:rPr>
            </w:pPr>
            <w:r w:rsidRPr="00066CC1">
              <w:rPr>
                <w:sz w:val="24"/>
                <w:szCs w:val="28"/>
              </w:rPr>
              <w:t>"</w:t>
            </w:r>
          </w:p>
        </w:tc>
        <w:tc>
          <w:tcPr>
            <w:tcW w:w="1340" w:type="dxa"/>
            <w:vAlign w:val="bottom"/>
          </w:tcPr>
          <w:p w:rsidR="00597284" w:rsidRPr="00066CC1" w:rsidRDefault="00A1647C" w:rsidP="00486A6E">
            <w:pPr>
              <w:jc w:val="center"/>
              <w:rPr>
                <w:sz w:val="24"/>
                <w:szCs w:val="28"/>
              </w:rPr>
            </w:pPr>
            <w:r w:rsidRPr="00066CC1">
              <w:rPr>
                <w:sz w:val="24"/>
                <w:szCs w:val="28"/>
              </w:rPr>
              <w:t>а</w:t>
            </w:r>
            <w:r w:rsidR="00486A6E" w:rsidRPr="00066CC1">
              <w:rPr>
                <w:sz w:val="24"/>
                <w:szCs w:val="28"/>
              </w:rPr>
              <w:t>вгуста</w:t>
            </w:r>
          </w:p>
        </w:tc>
        <w:tc>
          <w:tcPr>
            <w:tcW w:w="737" w:type="dxa"/>
            <w:vAlign w:val="bottom"/>
          </w:tcPr>
          <w:p w:rsidR="00597284" w:rsidRPr="00066CC1" w:rsidRDefault="00597284" w:rsidP="000E0D43">
            <w:pPr>
              <w:rPr>
                <w:sz w:val="24"/>
                <w:szCs w:val="28"/>
              </w:rPr>
            </w:pPr>
            <w:r w:rsidRPr="00066CC1">
              <w:rPr>
                <w:sz w:val="24"/>
                <w:szCs w:val="28"/>
              </w:rPr>
              <w:t>20</w:t>
            </w:r>
            <w:r w:rsidR="00282AC5" w:rsidRPr="00066CC1">
              <w:rPr>
                <w:sz w:val="24"/>
                <w:szCs w:val="28"/>
              </w:rPr>
              <w:t>1</w:t>
            </w:r>
            <w:r w:rsidR="000E0D43" w:rsidRPr="00066CC1">
              <w:rPr>
                <w:sz w:val="24"/>
                <w:szCs w:val="28"/>
              </w:rPr>
              <w:t>6</w:t>
            </w:r>
          </w:p>
        </w:tc>
        <w:tc>
          <w:tcPr>
            <w:tcW w:w="6144" w:type="dxa"/>
            <w:gridSpan w:val="4"/>
            <w:vAlign w:val="bottom"/>
          </w:tcPr>
          <w:p w:rsidR="00597284" w:rsidRPr="00066CC1" w:rsidRDefault="00597284" w:rsidP="00FD09FF">
            <w:pPr>
              <w:tabs>
                <w:tab w:val="left" w:pos="1219"/>
              </w:tabs>
              <w:rPr>
                <w:sz w:val="24"/>
                <w:szCs w:val="28"/>
              </w:rPr>
            </w:pPr>
            <w:r w:rsidRPr="00066CC1">
              <w:rPr>
                <w:sz w:val="24"/>
                <w:szCs w:val="28"/>
              </w:rPr>
              <w:t xml:space="preserve"> г.</w:t>
            </w:r>
            <w:r w:rsidRPr="00066CC1">
              <w:rPr>
                <w:sz w:val="24"/>
                <w:szCs w:val="28"/>
              </w:rPr>
              <w:tab/>
            </w:r>
          </w:p>
        </w:tc>
      </w:tr>
      <w:tr w:rsidR="003C48AC" w:rsidRPr="005050C9" w:rsidTr="00066CC1">
        <w:trPr>
          <w:gridAfter w:val="1"/>
          <w:wAfter w:w="28" w:type="dxa"/>
          <w:cantSplit/>
          <w:trHeight w:val="274"/>
        </w:trPr>
        <w:tc>
          <w:tcPr>
            <w:tcW w:w="10348" w:type="dxa"/>
            <w:gridSpan w:val="9"/>
            <w:vAlign w:val="bottom"/>
          </w:tcPr>
          <w:p w:rsidR="003C48AC" w:rsidRPr="00066CC1" w:rsidRDefault="003C48AC" w:rsidP="00FD09FF">
            <w:pPr>
              <w:jc w:val="center"/>
              <w:rPr>
                <w:sz w:val="24"/>
                <w:szCs w:val="28"/>
              </w:rPr>
            </w:pPr>
            <w:r w:rsidRPr="00066CC1">
              <w:rPr>
                <w:sz w:val="24"/>
                <w:szCs w:val="28"/>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B9" w:rsidRDefault="00B60EB9">
      <w:r>
        <w:separator/>
      </w:r>
    </w:p>
  </w:endnote>
  <w:endnote w:type="continuationSeparator" w:id="0">
    <w:p w:rsidR="00B60EB9" w:rsidRDefault="00B6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B9" w:rsidRDefault="00B60EB9">
      <w:r>
        <w:separator/>
      </w:r>
    </w:p>
  </w:footnote>
  <w:footnote w:type="continuationSeparator" w:id="0">
    <w:p w:rsidR="00B60EB9" w:rsidRDefault="00B60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66CC1"/>
    <w:rsid w:val="000C07BE"/>
    <w:rsid w:val="000E0D43"/>
    <w:rsid w:val="000E371A"/>
    <w:rsid w:val="000E6143"/>
    <w:rsid w:val="001140B7"/>
    <w:rsid w:val="001662F1"/>
    <w:rsid w:val="002058F3"/>
    <w:rsid w:val="00212E5F"/>
    <w:rsid w:val="00250A82"/>
    <w:rsid w:val="00282AC5"/>
    <w:rsid w:val="00290A1D"/>
    <w:rsid w:val="00292938"/>
    <w:rsid w:val="002C361D"/>
    <w:rsid w:val="002D1FCC"/>
    <w:rsid w:val="002F5740"/>
    <w:rsid w:val="00361CD5"/>
    <w:rsid w:val="003B77A9"/>
    <w:rsid w:val="003C36ED"/>
    <w:rsid w:val="003C48AC"/>
    <w:rsid w:val="003D0766"/>
    <w:rsid w:val="004159A8"/>
    <w:rsid w:val="004507FF"/>
    <w:rsid w:val="00455B99"/>
    <w:rsid w:val="00464D0F"/>
    <w:rsid w:val="00485318"/>
    <w:rsid w:val="00486A6E"/>
    <w:rsid w:val="00494D34"/>
    <w:rsid w:val="00497949"/>
    <w:rsid w:val="004C49C4"/>
    <w:rsid w:val="004D2CB3"/>
    <w:rsid w:val="004D6C75"/>
    <w:rsid w:val="005050C9"/>
    <w:rsid w:val="00514EA3"/>
    <w:rsid w:val="00515FEB"/>
    <w:rsid w:val="00564B08"/>
    <w:rsid w:val="0056543B"/>
    <w:rsid w:val="00586C36"/>
    <w:rsid w:val="005906FD"/>
    <w:rsid w:val="00597284"/>
    <w:rsid w:val="005D30C5"/>
    <w:rsid w:val="005E11C4"/>
    <w:rsid w:val="005E21F4"/>
    <w:rsid w:val="00622BB8"/>
    <w:rsid w:val="0063740E"/>
    <w:rsid w:val="0065534E"/>
    <w:rsid w:val="006B2045"/>
    <w:rsid w:val="006C0BDA"/>
    <w:rsid w:val="006D63A5"/>
    <w:rsid w:val="00706A4D"/>
    <w:rsid w:val="00711A7A"/>
    <w:rsid w:val="00741A1D"/>
    <w:rsid w:val="00794508"/>
    <w:rsid w:val="007D5743"/>
    <w:rsid w:val="007F7996"/>
    <w:rsid w:val="008132A3"/>
    <w:rsid w:val="00826F67"/>
    <w:rsid w:val="00831E34"/>
    <w:rsid w:val="008F1EA0"/>
    <w:rsid w:val="00917A69"/>
    <w:rsid w:val="00953CE6"/>
    <w:rsid w:val="00953DC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65D"/>
    <w:rsid w:val="00B42CE2"/>
    <w:rsid w:val="00B60EB9"/>
    <w:rsid w:val="00B82ABC"/>
    <w:rsid w:val="00BC4175"/>
    <w:rsid w:val="00BE3D8E"/>
    <w:rsid w:val="00BF0223"/>
    <w:rsid w:val="00C33EFC"/>
    <w:rsid w:val="00C371B8"/>
    <w:rsid w:val="00C51E97"/>
    <w:rsid w:val="00C52A1B"/>
    <w:rsid w:val="00CB38A5"/>
    <w:rsid w:val="00D132C2"/>
    <w:rsid w:val="00D37414"/>
    <w:rsid w:val="00E131A9"/>
    <w:rsid w:val="00E25566"/>
    <w:rsid w:val="00EB1E3B"/>
    <w:rsid w:val="00EC7B9F"/>
    <w:rsid w:val="00ED3270"/>
    <w:rsid w:val="00EF0466"/>
    <w:rsid w:val="00F018D0"/>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3</cp:revision>
  <cp:lastPrinted>2016-08-11T09:03:00Z</cp:lastPrinted>
  <dcterms:created xsi:type="dcterms:W3CDTF">2016-08-09T07:18:00Z</dcterms:created>
  <dcterms:modified xsi:type="dcterms:W3CDTF">2016-08-11T09:03:00Z</dcterms:modified>
</cp:coreProperties>
</file>