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 xml:space="preserve">Приобретение лицом права распоряжаться определенным количеством голосов, </w:t>
      </w:r>
      <w:bookmarkStart w:id="0" w:name="_GoBack"/>
      <w:bookmarkEnd w:id="0"/>
      <w:r w:rsidR="00C371B8" w:rsidRPr="00C371B8">
        <w:rPr>
          <w:sz w:val="24"/>
          <w:szCs w:val="24"/>
        </w:rPr>
        <w:t>приходящихся на голосующие акции (доли),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C36BF1" w:rsidRPr="00A052BA" w:rsidRDefault="00C36BF1" w:rsidP="00C36BF1">
            <w:pPr>
              <w:ind w:left="85" w:right="85"/>
              <w:jc w:val="both"/>
              <w:rPr>
                <w:sz w:val="24"/>
              </w:rPr>
            </w:pPr>
            <w:hyperlink r:id="rId6" w:history="1">
              <w:r w:rsidRPr="00A052BA">
                <w:rPr>
                  <w:rStyle w:val="a9"/>
                  <w:sz w:val="24"/>
                </w:rPr>
                <w:t>https://disclosure.1prime.ru/Portal/Default.aspx?emId=6315222985</w:t>
              </w:r>
            </w:hyperlink>
          </w:p>
          <w:p w:rsidR="004D2CB3" w:rsidRPr="00C371B8" w:rsidRDefault="00C36BF1" w:rsidP="00C36BF1">
            <w:pPr>
              <w:ind w:left="85" w:right="85"/>
              <w:jc w:val="both"/>
              <w:rPr>
                <w:sz w:val="24"/>
                <w:szCs w:val="24"/>
              </w:rPr>
            </w:pPr>
            <w:hyperlink r:id="rId7" w:history="1">
              <w:r w:rsidRPr="00B705B5">
                <w:rPr>
                  <w:rStyle w:val="a9"/>
                  <w:sz w:val="24"/>
                  <w:szCs w:val="24"/>
                </w:rPr>
                <w:t>http://www.samaraenergo.ru/stockholder/facts/</w:t>
              </w:r>
            </w:hyperlink>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20738C" w:rsidRDefault="00C371B8" w:rsidP="00250A82">
            <w:pPr>
              <w:jc w:val="both"/>
              <w:rPr>
                <w:b/>
                <w:sz w:val="23"/>
                <w:szCs w:val="23"/>
              </w:rPr>
            </w:pPr>
            <w:r w:rsidRPr="0020738C">
              <w:rPr>
                <w:b/>
                <w:sz w:val="23"/>
                <w:szCs w:val="23"/>
              </w:rPr>
              <w:t xml:space="preserve">2. Содержание сообщения </w:t>
            </w:r>
          </w:p>
          <w:p w:rsidR="00C371B8" w:rsidRPr="0020738C" w:rsidRDefault="00C371B8" w:rsidP="00C371B8">
            <w:pPr>
              <w:tabs>
                <w:tab w:val="num" w:pos="1080"/>
              </w:tabs>
              <w:jc w:val="both"/>
              <w:rPr>
                <w:b/>
                <w:sz w:val="23"/>
                <w:szCs w:val="23"/>
              </w:rPr>
            </w:pPr>
            <w:r w:rsidRPr="0020738C">
              <w:rPr>
                <w:b/>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F548CC">
              <w:rPr>
                <w:b/>
                <w:sz w:val="23"/>
                <w:szCs w:val="23"/>
              </w:rPr>
              <w:t xml:space="preserve"> </w:t>
            </w:r>
            <w:r w:rsidR="00F548CC">
              <w:rPr>
                <w:sz w:val="23"/>
                <w:szCs w:val="23"/>
              </w:rPr>
              <w:t>Кредит Свисс Груп ЭйДжи</w:t>
            </w:r>
            <w:r w:rsidR="00C52A1B" w:rsidRPr="0020738C">
              <w:rPr>
                <w:sz w:val="23"/>
                <w:szCs w:val="23"/>
              </w:rPr>
              <w:t xml:space="preserve"> </w:t>
            </w:r>
            <w:r w:rsidR="00F548CC">
              <w:rPr>
                <w:sz w:val="23"/>
                <w:szCs w:val="23"/>
              </w:rPr>
              <w:t>(Credit Suesse Group AG), Парадэплатц 8, 8001 Цюрих, Швейцария.</w:t>
            </w:r>
          </w:p>
          <w:p w:rsidR="009834AF" w:rsidRPr="0020738C" w:rsidRDefault="00C371B8" w:rsidP="009834AF">
            <w:pPr>
              <w:pStyle w:val="ConsPlusNormal"/>
              <w:jc w:val="both"/>
              <w:rPr>
                <w:sz w:val="23"/>
                <w:szCs w:val="23"/>
              </w:rPr>
            </w:pPr>
            <w:r w:rsidRPr="0020738C">
              <w:rPr>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020979">
              <w:rPr>
                <w:b w:val="0"/>
                <w:sz w:val="23"/>
                <w:szCs w:val="23"/>
              </w:rPr>
              <w:t>нет контроля</w:t>
            </w:r>
            <w:r w:rsidRPr="0020738C">
              <w:rPr>
                <w:b w:val="0"/>
                <w:sz w:val="23"/>
                <w:szCs w:val="23"/>
              </w:rPr>
              <w:br/>
            </w:r>
            <w:r w:rsidRPr="0020738C">
              <w:rPr>
                <w:sz w:val="23"/>
                <w:szCs w:val="23"/>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00020979">
              <w:rPr>
                <w:b w:val="0"/>
                <w:sz w:val="23"/>
                <w:szCs w:val="23"/>
              </w:rPr>
              <w:t>нет контроля</w:t>
            </w:r>
            <w:r w:rsidRPr="0020738C">
              <w:rPr>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020979">
              <w:rPr>
                <w:sz w:val="23"/>
                <w:szCs w:val="23"/>
              </w:rPr>
              <w:t xml:space="preserve"> </w:t>
            </w:r>
            <w:r w:rsidR="00020979">
              <w:rPr>
                <w:b w:val="0"/>
                <w:sz w:val="23"/>
                <w:szCs w:val="23"/>
              </w:rPr>
              <w:t>нет контроля</w:t>
            </w:r>
          </w:p>
          <w:p w:rsidR="0020738C" w:rsidRPr="0020738C" w:rsidRDefault="00C371B8" w:rsidP="00582716">
            <w:pPr>
              <w:jc w:val="both"/>
              <w:rPr>
                <w:sz w:val="23"/>
                <w:szCs w:val="23"/>
              </w:rPr>
            </w:pPr>
            <w:r w:rsidRPr="0020738C">
              <w:rPr>
                <w:b/>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20738C">
              <w:rPr>
                <w:sz w:val="23"/>
                <w:szCs w:val="23"/>
              </w:rPr>
              <w:t xml:space="preserve">: </w:t>
            </w:r>
            <w:r w:rsidR="00F548CC">
              <w:rPr>
                <w:sz w:val="23"/>
                <w:szCs w:val="23"/>
              </w:rPr>
              <w:t xml:space="preserve">146 450 000 штук </w:t>
            </w:r>
            <w:r w:rsidR="00F548CC" w:rsidRPr="0020738C">
              <w:rPr>
                <w:sz w:val="23"/>
                <w:szCs w:val="23"/>
              </w:rPr>
              <w:t>обыкновенных акций</w:t>
            </w:r>
            <w:r w:rsidRPr="0020738C">
              <w:rPr>
                <w:sz w:val="23"/>
                <w:szCs w:val="23"/>
              </w:rPr>
              <w:t xml:space="preserve"> </w:t>
            </w:r>
            <w:r w:rsidR="00DE6032">
              <w:rPr>
                <w:sz w:val="23"/>
                <w:szCs w:val="23"/>
              </w:rPr>
              <w:t>(4,138 %), 85 500 штук</w:t>
            </w:r>
            <w:r w:rsidR="00DE6032" w:rsidRPr="0020738C">
              <w:rPr>
                <w:sz w:val="23"/>
                <w:szCs w:val="23"/>
              </w:rPr>
              <w:t xml:space="preserve"> привилегированных акций (</w:t>
            </w:r>
            <w:r w:rsidR="00DE6032">
              <w:rPr>
                <w:sz w:val="23"/>
                <w:szCs w:val="23"/>
              </w:rPr>
              <w:t>0,016</w:t>
            </w:r>
            <w:r w:rsidR="00DE6032" w:rsidRPr="0020738C">
              <w:rPr>
                <w:sz w:val="23"/>
                <w:szCs w:val="23"/>
              </w:rPr>
              <w:t>%).</w:t>
            </w:r>
            <w:r w:rsidRPr="0020738C">
              <w:rPr>
                <w:sz w:val="23"/>
                <w:szCs w:val="23"/>
              </w:rPr>
              <w:br/>
            </w:r>
            <w:r w:rsidRPr="0020738C">
              <w:rPr>
                <w:b/>
                <w:sz w:val="23"/>
                <w:szCs w:val="23"/>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Pr="0020738C">
              <w:rPr>
                <w:sz w:val="23"/>
                <w:szCs w:val="23"/>
              </w:rPr>
              <w:t xml:space="preserve"> </w:t>
            </w:r>
            <w:r w:rsidR="00F548CC">
              <w:rPr>
                <w:sz w:val="23"/>
                <w:szCs w:val="23"/>
              </w:rPr>
              <w:t>280 580 187</w:t>
            </w:r>
            <w:r w:rsidR="00C52A1B" w:rsidRPr="0020738C">
              <w:rPr>
                <w:sz w:val="23"/>
                <w:szCs w:val="23"/>
              </w:rPr>
              <w:t xml:space="preserve"> штук обыкновенных</w:t>
            </w:r>
            <w:r w:rsidRPr="0020738C">
              <w:rPr>
                <w:sz w:val="23"/>
                <w:szCs w:val="23"/>
              </w:rPr>
              <w:t xml:space="preserve"> акций </w:t>
            </w:r>
            <w:r w:rsidR="00582716" w:rsidRPr="0020738C">
              <w:rPr>
                <w:sz w:val="23"/>
                <w:szCs w:val="23"/>
              </w:rPr>
              <w:t>(</w:t>
            </w:r>
            <w:r w:rsidR="00F548CC">
              <w:rPr>
                <w:sz w:val="23"/>
                <w:szCs w:val="23"/>
              </w:rPr>
              <w:t>7,928</w:t>
            </w:r>
            <w:r w:rsidRPr="0020738C">
              <w:rPr>
                <w:sz w:val="23"/>
                <w:szCs w:val="23"/>
              </w:rPr>
              <w:t xml:space="preserve"> %</w:t>
            </w:r>
            <w:r w:rsidR="00582716" w:rsidRPr="0020738C">
              <w:rPr>
                <w:sz w:val="23"/>
                <w:szCs w:val="23"/>
              </w:rPr>
              <w:t>)</w:t>
            </w:r>
            <w:r w:rsidRPr="0020738C">
              <w:rPr>
                <w:sz w:val="23"/>
                <w:szCs w:val="23"/>
              </w:rPr>
              <w:t>.</w:t>
            </w:r>
            <w:r w:rsidR="009834AF" w:rsidRPr="0020738C">
              <w:rPr>
                <w:sz w:val="23"/>
                <w:szCs w:val="23"/>
              </w:rPr>
              <w:t>,</w:t>
            </w:r>
            <w:r w:rsidR="0020738C" w:rsidRPr="0020738C">
              <w:rPr>
                <w:sz w:val="23"/>
                <w:szCs w:val="23"/>
              </w:rPr>
              <w:t xml:space="preserve"> </w:t>
            </w:r>
            <w:r w:rsidR="00F548CC">
              <w:rPr>
                <w:sz w:val="23"/>
                <w:szCs w:val="23"/>
              </w:rPr>
              <w:t>1 384 385 штук</w:t>
            </w:r>
            <w:r w:rsidR="009834AF" w:rsidRPr="0020738C">
              <w:rPr>
                <w:sz w:val="23"/>
                <w:szCs w:val="23"/>
              </w:rPr>
              <w:t xml:space="preserve"> привилегированных акций </w:t>
            </w:r>
            <w:r w:rsidR="00582716" w:rsidRPr="0020738C">
              <w:rPr>
                <w:sz w:val="23"/>
                <w:szCs w:val="23"/>
              </w:rPr>
              <w:t>(</w:t>
            </w:r>
            <w:r w:rsidR="009834AF" w:rsidRPr="0020738C">
              <w:rPr>
                <w:sz w:val="23"/>
                <w:szCs w:val="23"/>
              </w:rPr>
              <w:t>0,</w:t>
            </w:r>
            <w:r w:rsidR="00F548CC">
              <w:rPr>
                <w:sz w:val="23"/>
                <w:szCs w:val="23"/>
              </w:rPr>
              <w:t>265</w:t>
            </w:r>
            <w:r w:rsidR="009834AF" w:rsidRPr="0020738C">
              <w:rPr>
                <w:sz w:val="23"/>
                <w:szCs w:val="23"/>
              </w:rPr>
              <w:t>%</w:t>
            </w:r>
            <w:r w:rsidR="00582716" w:rsidRPr="0020738C">
              <w:rPr>
                <w:sz w:val="23"/>
                <w:szCs w:val="23"/>
              </w:rPr>
              <w:t>)</w:t>
            </w:r>
            <w:r w:rsidR="009834AF" w:rsidRPr="0020738C">
              <w:rPr>
                <w:sz w:val="23"/>
                <w:szCs w:val="23"/>
              </w:rPr>
              <w:t>.</w:t>
            </w:r>
            <w:r w:rsidRPr="0020738C">
              <w:rPr>
                <w:sz w:val="23"/>
                <w:szCs w:val="23"/>
              </w:rPr>
              <w:t xml:space="preserve"> </w:t>
            </w:r>
          </w:p>
          <w:p w:rsidR="00A13C5C" w:rsidRPr="00C371B8" w:rsidRDefault="00C371B8" w:rsidP="00F548CC">
            <w:pPr>
              <w:jc w:val="both"/>
              <w:rPr>
                <w:b/>
                <w:color w:val="000000"/>
                <w:sz w:val="24"/>
                <w:szCs w:val="24"/>
              </w:rPr>
            </w:pPr>
            <w:r w:rsidRPr="0020738C">
              <w:rPr>
                <w:b/>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F548CC">
              <w:rPr>
                <w:sz w:val="23"/>
                <w:szCs w:val="23"/>
              </w:rPr>
              <w:t>09</w:t>
            </w:r>
            <w:r w:rsidRPr="0020738C">
              <w:rPr>
                <w:sz w:val="23"/>
                <w:szCs w:val="23"/>
              </w:rPr>
              <w:t xml:space="preserve"> </w:t>
            </w:r>
            <w:r w:rsidR="00F548CC">
              <w:rPr>
                <w:sz w:val="23"/>
                <w:szCs w:val="23"/>
              </w:rPr>
              <w:t>ноябр</w:t>
            </w:r>
            <w:r w:rsidRPr="0020738C">
              <w:rPr>
                <w:sz w:val="23"/>
                <w:szCs w:val="23"/>
              </w:rPr>
              <w:t>я 201</w:t>
            </w:r>
            <w:r w:rsidR="00C52A1B" w:rsidRPr="0020738C">
              <w:rPr>
                <w:sz w:val="23"/>
                <w:szCs w:val="23"/>
              </w:rPr>
              <w:t>6</w:t>
            </w:r>
            <w:r w:rsidRPr="0020738C">
              <w:rPr>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F548CC" w:rsidP="0020738C">
            <w:pPr>
              <w:jc w:val="center"/>
              <w:rPr>
                <w:sz w:val="24"/>
                <w:szCs w:val="24"/>
              </w:rPr>
            </w:pPr>
            <w:r>
              <w:rPr>
                <w:sz w:val="24"/>
                <w:szCs w:val="24"/>
              </w:rPr>
              <w:t>21</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F548CC" w:rsidP="00486A6E">
            <w:pPr>
              <w:jc w:val="center"/>
              <w:rPr>
                <w:sz w:val="24"/>
                <w:szCs w:val="24"/>
              </w:rPr>
            </w:pPr>
            <w:r>
              <w:rPr>
                <w:sz w:val="24"/>
                <w:szCs w:val="24"/>
              </w:rPr>
              <w:t>ноября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0E0D43" w:rsidRPr="0020738C">
              <w:rPr>
                <w:sz w:val="24"/>
                <w:szCs w:val="24"/>
              </w:rPr>
              <w:t>6</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2" w:rsidRDefault="00415652">
      <w:r>
        <w:separator/>
      </w:r>
    </w:p>
  </w:endnote>
  <w:endnote w:type="continuationSeparator" w:id="0">
    <w:p w:rsidR="00415652" w:rsidRDefault="0041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2" w:rsidRDefault="00415652">
      <w:r>
        <w:separator/>
      </w:r>
    </w:p>
  </w:footnote>
  <w:footnote w:type="continuationSeparator" w:id="0">
    <w:p w:rsidR="00415652" w:rsidRDefault="0041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20979"/>
    <w:rsid w:val="000423A8"/>
    <w:rsid w:val="000C07BE"/>
    <w:rsid w:val="000E0D43"/>
    <w:rsid w:val="000E371A"/>
    <w:rsid w:val="000E6143"/>
    <w:rsid w:val="001140B7"/>
    <w:rsid w:val="001662F1"/>
    <w:rsid w:val="002058F3"/>
    <w:rsid w:val="0020738C"/>
    <w:rsid w:val="00212E5F"/>
    <w:rsid w:val="00250A82"/>
    <w:rsid w:val="00282AC5"/>
    <w:rsid w:val="00292938"/>
    <w:rsid w:val="002C361D"/>
    <w:rsid w:val="002D1FCC"/>
    <w:rsid w:val="002F5740"/>
    <w:rsid w:val="00361CD5"/>
    <w:rsid w:val="003B77A9"/>
    <w:rsid w:val="003C36ED"/>
    <w:rsid w:val="003C48AC"/>
    <w:rsid w:val="003D0766"/>
    <w:rsid w:val="003E22E3"/>
    <w:rsid w:val="00415652"/>
    <w:rsid w:val="004159A8"/>
    <w:rsid w:val="004507FF"/>
    <w:rsid w:val="00455B99"/>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7284"/>
    <w:rsid w:val="005C5515"/>
    <w:rsid w:val="005D30C5"/>
    <w:rsid w:val="005E11C4"/>
    <w:rsid w:val="005E21F4"/>
    <w:rsid w:val="00622BB8"/>
    <w:rsid w:val="0063740E"/>
    <w:rsid w:val="0065534E"/>
    <w:rsid w:val="006B2045"/>
    <w:rsid w:val="006C0BDA"/>
    <w:rsid w:val="006D63A5"/>
    <w:rsid w:val="00706A4D"/>
    <w:rsid w:val="00711A7A"/>
    <w:rsid w:val="00741A1D"/>
    <w:rsid w:val="00794508"/>
    <w:rsid w:val="007D5743"/>
    <w:rsid w:val="007F7996"/>
    <w:rsid w:val="008132A3"/>
    <w:rsid w:val="0081402B"/>
    <w:rsid w:val="00826F67"/>
    <w:rsid w:val="00831E34"/>
    <w:rsid w:val="008F1EA0"/>
    <w:rsid w:val="00917A69"/>
    <w:rsid w:val="00953CE6"/>
    <w:rsid w:val="00953DC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65D"/>
    <w:rsid w:val="00B42CE2"/>
    <w:rsid w:val="00B82ABC"/>
    <w:rsid w:val="00BC4175"/>
    <w:rsid w:val="00BE3D8E"/>
    <w:rsid w:val="00BF0223"/>
    <w:rsid w:val="00C33EFC"/>
    <w:rsid w:val="00C36BF1"/>
    <w:rsid w:val="00C371B8"/>
    <w:rsid w:val="00C51E97"/>
    <w:rsid w:val="00C52A1B"/>
    <w:rsid w:val="00CB38A5"/>
    <w:rsid w:val="00D132C2"/>
    <w:rsid w:val="00D37414"/>
    <w:rsid w:val="00DE6032"/>
    <w:rsid w:val="00E131A9"/>
    <w:rsid w:val="00E25566"/>
    <w:rsid w:val="00EB1E3B"/>
    <w:rsid w:val="00EC7B9F"/>
    <w:rsid w:val="00EF0466"/>
    <w:rsid w:val="00F0329E"/>
    <w:rsid w:val="00F364A6"/>
    <w:rsid w:val="00F45FFF"/>
    <w:rsid w:val="00F548CC"/>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4</cp:revision>
  <cp:lastPrinted>2016-11-21T09:13:00Z</cp:lastPrinted>
  <dcterms:created xsi:type="dcterms:W3CDTF">2016-11-21T05:26:00Z</dcterms:created>
  <dcterms:modified xsi:type="dcterms:W3CDTF">2016-11-21T09:13:00Z</dcterms:modified>
</cp:coreProperties>
</file>