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441"/>
        <w:gridCol w:w="2046"/>
        <w:gridCol w:w="3657"/>
        <w:gridCol w:w="28"/>
      </w:tblGrid>
      <w:tr w:rsidR="00A13C5C" w:rsidRPr="00C371B8" w:rsidTr="00A93B06">
        <w:tc>
          <w:tcPr>
            <w:tcW w:w="10376"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731" w:type="dxa"/>
            <w:gridSpan w:val="3"/>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731" w:type="dxa"/>
            <w:gridSpan w:val="3"/>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731" w:type="dxa"/>
            <w:gridSpan w:val="3"/>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1.4. ОГРН эмитента</w:t>
            </w:r>
          </w:p>
        </w:tc>
        <w:tc>
          <w:tcPr>
            <w:tcW w:w="5731" w:type="dxa"/>
            <w:gridSpan w:val="3"/>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1.5. ИНН эмитента</w:t>
            </w:r>
          </w:p>
        </w:tc>
        <w:tc>
          <w:tcPr>
            <w:tcW w:w="5731" w:type="dxa"/>
            <w:gridSpan w:val="3"/>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A52FA8">
        <w:trPr>
          <w:trHeight w:val="311"/>
        </w:trPr>
        <w:tc>
          <w:tcPr>
            <w:tcW w:w="4645" w:type="dxa"/>
            <w:gridSpan w:val="6"/>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731" w:type="dxa"/>
            <w:gridSpan w:val="3"/>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731" w:type="dxa"/>
            <w:gridSpan w:val="3"/>
          </w:tcPr>
          <w:p w:rsidR="009931CC" w:rsidRPr="00A052BA" w:rsidRDefault="00CC1E44" w:rsidP="009931CC">
            <w:pPr>
              <w:ind w:left="85" w:right="85"/>
              <w:jc w:val="both"/>
              <w:rPr>
                <w:sz w:val="24"/>
              </w:rPr>
            </w:pPr>
            <w:hyperlink r:id="rId6" w:history="1">
              <w:r w:rsidR="009931CC" w:rsidRPr="00A052BA">
                <w:rPr>
                  <w:rStyle w:val="a9"/>
                  <w:sz w:val="24"/>
                </w:rPr>
                <w:t>https://disclosure.1prime.ru/Portal/Default.aspx?emId=6315222985</w:t>
              </w:r>
            </w:hyperlink>
          </w:p>
          <w:p w:rsidR="004D2CB3" w:rsidRPr="00C371B8" w:rsidRDefault="00CC1E44" w:rsidP="009931CC">
            <w:pPr>
              <w:ind w:left="85" w:right="85"/>
              <w:jc w:val="both"/>
              <w:rPr>
                <w:sz w:val="24"/>
                <w:szCs w:val="24"/>
              </w:rPr>
            </w:pPr>
            <w:hyperlink r:id="rId7" w:history="1">
              <w:r w:rsidR="009931CC" w:rsidRPr="00B705B5">
                <w:rPr>
                  <w:rStyle w:val="a9"/>
                  <w:sz w:val="24"/>
                  <w:szCs w:val="24"/>
                </w:rPr>
                <w:t>http://www.samaraenergo.ru/stockholder/facts/</w:t>
              </w:r>
            </w:hyperlink>
          </w:p>
        </w:tc>
      </w:tr>
      <w:tr w:rsidR="00A13C5C" w:rsidRPr="00C371B8" w:rsidTr="00975521">
        <w:trPr>
          <w:trHeight w:val="321"/>
        </w:trPr>
        <w:tc>
          <w:tcPr>
            <w:tcW w:w="10376"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975521">
        <w:tc>
          <w:tcPr>
            <w:tcW w:w="10376" w:type="dxa"/>
            <w:gridSpan w:val="9"/>
          </w:tcPr>
          <w:p w:rsidR="00C371B8" w:rsidRPr="00A52FA8" w:rsidRDefault="00C371B8" w:rsidP="00250A82">
            <w:pPr>
              <w:jc w:val="both"/>
              <w:rPr>
                <w:sz w:val="22"/>
                <w:szCs w:val="22"/>
              </w:rPr>
            </w:pPr>
            <w:r w:rsidRPr="00A52FA8">
              <w:rPr>
                <w:b/>
                <w:sz w:val="22"/>
                <w:szCs w:val="22"/>
              </w:rPr>
              <w:t>2. Содержание сообщения</w:t>
            </w:r>
            <w:r w:rsidRPr="00A52FA8">
              <w:rPr>
                <w:sz w:val="22"/>
                <w:szCs w:val="22"/>
              </w:rPr>
              <w:t xml:space="preserve"> </w:t>
            </w:r>
          </w:p>
          <w:p w:rsidR="00C371B8" w:rsidRPr="00A52FA8" w:rsidRDefault="00C371B8" w:rsidP="00C371B8">
            <w:pPr>
              <w:tabs>
                <w:tab w:val="num" w:pos="1080"/>
              </w:tabs>
              <w:jc w:val="both"/>
              <w:rPr>
                <w:b/>
                <w:sz w:val="22"/>
                <w:szCs w:val="22"/>
              </w:rPr>
            </w:pPr>
            <w:r w:rsidRPr="00A52FA8">
              <w:rPr>
                <w:b/>
                <w:sz w:val="22"/>
                <w:szCs w:val="22"/>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A52FA8">
              <w:rPr>
                <w:sz w:val="22"/>
                <w:szCs w:val="22"/>
              </w:rPr>
              <w:t xml:space="preserve"> </w:t>
            </w:r>
            <w:r w:rsidR="009931CC" w:rsidRPr="00A52FA8">
              <w:rPr>
                <w:smallCaps/>
                <w:sz w:val="22"/>
                <w:szCs w:val="22"/>
              </w:rPr>
              <w:t>ЧАРМШАЙН ИНВЕСТМЕНТС ЛИМИТЕД</w:t>
            </w:r>
            <w:r w:rsidRPr="00A52FA8">
              <w:rPr>
                <w:sz w:val="22"/>
                <w:szCs w:val="22"/>
              </w:rPr>
              <w:t xml:space="preserve"> </w:t>
            </w:r>
            <w:r w:rsidR="00C52A1B" w:rsidRPr="00A52FA8">
              <w:rPr>
                <w:sz w:val="22"/>
                <w:szCs w:val="22"/>
              </w:rPr>
              <w:t>(</w:t>
            </w:r>
            <w:r w:rsidR="009931CC" w:rsidRPr="00A52FA8">
              <w:rPr>
                <w:sz w:val="22"/>
                <w:szCs w:val="22"/>
              </w:rPr>
              <w:t>CHARMSHINE I</w:t>
            </w:r>
            <w:r w:rsidR="00ED3270" w:rsidRPr="00A52FA8">
              <w:rPr>
                <w:sz w:val="22"/>
                <w:szCs w:val="22"/>
              </w:rPr>
              <w:t>NVESTMENTS LIMITED</w:t>
            </w:r>
            <w:r w:rsidR="00C52A1B" w:rsidRPr="00A52FA8">
              <w:rPr>
                <w:sz w:val="22"/>
                <w:szCs w:val="22"/>
              </w:rPr>
              <w:t xml:space="preserve">), </w:t>
            </w:r>
            <w:r w:rsidR="009834AF" w:rsidRPr="00A52FA8">
              <w:rPr>
                <w:sz w:val="22"/>
                <w:szCs w:val="22"/>
              </w:rPr>
              <w:t>(</w:t>
            </w:r>
            <w:r w:rsidR="009931CC" w:rsidRPr="00A52FA8">
              <w:rPr>
                <w:sz w:val="22"/>
                <w:szCs w:val="22"/>
              </w:rPr>
              <w:t>Тридент Чемберс, П.О. Бокс 146, Роад Таун, Тортола, Британские Виргинские Острова</w:t>
            </w:r>
            <w:r w:rsidRPr="00A52FA8">
              <w:rPr>
                <w:sz w:val="22"/>
                <w:szCs w:val="22"/>
              </w:rPr>
              <w:t>)</w:t>
            </w:r>
            <w:r w:rsidR="00C52A1B" w:rsidRPr="00A52FA8">
              <w:rPr>
                <w:sz w:val="22"/>
                <w:szCs w:val="22"/>
              </w:rPr>
              <w:t>,</w:t>
            </w:r>
            <w:r w:rsidRPr="00A52FA8">
              <w:rPr>
                <w:sz w:val="22"/>
                <w:szCs w:val="22"/>
              </w:rPr>
              <w:t xml:space="preserve"> </w:t>
            </w:r>
            <w:r w:rsidR="00C52A1B" w:rsidRPr="00A52FA8">
              <w:rPr>
                <w:sz w:val="22"/>
                <w:szCs w:val="22"/>
              </w:rPr>
              <w:t xml:space="preserve">рег. номер </w:t>
            </w:r>
            <w:r w:rsidR="009931CC" w:rsidRPr="00A52FA8">
              <w:rPr>
                <w:sz w:val="22"/>
                <w:szCs w:val="22"/>
              </w:rPr>
              <w:t>1501951</w:t>
            </w:r>
          </w:p>
          <w:p w:rsidR="00ED3270" w:rsidRPr="00A52FA8" w:rsidRDefault="00C371B8" w:rsidP="00ED3270">
            <w:pPr>
              <w:pStyle w:val="ConsPlusNormal"/>
              <w:jc w:val="both"/>
              <w:rPr>
                <w:sz w:val="22"/>
                <w:szCs w:val="22"/>
              </w:rPr>
            </w:pPr>
            <w:r w:rsidRPr="00A52FA8">
              <w:rPr>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A52FA8">
              <w:rPr>
                <w:b w:val="0"/>
                <w:sz w:val="22"/>
                <w:szCs w:val="22"/>
              </w:rPr>
              <w:t>прямо</w:t>
            </w:r>
            <w:r w:rsidR="009834AF" w:rsidRPr="00A52FA8">
              <w:rPr>
                <w:b w:val="0"/>
                <w:sz w:val="22"/>
                <w:szCs w:val="22"/>
              </w:rPr>
              <w:t>е распоряжение.</w:t>
            </w:r>
            <w:r w:rsidRPr="00A52FA8">
              <w:rPr>
                <w:sz w:val="22"/>
                <w:szCs w:val="22"/>
              </w:rP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A52FA8">
              <w:rPr>
                <w:b w:val="0"/>
                <w:sz w:val="22"/>
                <w:szCs w:val="22"/>
              </w:rPr>
              <w:t>самостоятельное распоряжение.</w:t>
            </w:r>
            <w:r w:rsidRPr="00A52FA8">
              <w:rPr>
                <w:sz w:val="22"/>
                <w:szCs w:val="22"/>
              </w:rPr>
              <w:t xml:space="preserve"> </w:t>
            </w:r>
            <w:r w:rsidRPr="00A52FA8">
              <w:rPr>
                <w:sz w:val="22"/>
                <w:szCs w:val="22"/>
              </w:rPr>
              <w:b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00497949" w:rsidRPr="00A52FA8">
              <w:rPr>
                <w:b w:val="0"/>
                <w:sz w:val="22"/>
                <w:szCs w:val="22"/>
              </w:rPr>
              <w:t>З</w:t>
            </w:r>
            <w:r w:rsidR="00ED3270" w:rsidRPr="00A52FA8">
              <w:rPr>
                <w:b w:val="0"/>
                <w:sz w:val="22"/>
                <w:szCs w:val="22"/>
              </w:rPr>
              <w:t>аключение по иным основаниям договора доверительного управления имуществ</w:t>
            </w:r>
            <w:bookmarkStart w:id="0" w:name="_GoBack"/>
            <w:bookmarkEnd w:id="0"/>
            <w:r w:rsidR="00ED3270" w:rsidRPr="00A52FA8">
              <w:rPr>
                <w:b w:val="0"/>
                <w:sz w:val="22"/>
                <w:szCs w:val="22"/>
              </w:rPr>
              <w:t>ом</w:t>
            </w:r>
          </w:p>
          <w:p w:rsidR="00A13C5C" w:rsidRPr="00C371B8" w:rsidRDefault="00C371B8" w:rsidP="00B36AAA">
            <w:pPr>
              <w:jc w:val="both"/>
              <w:rPr>
                <w:b/>
                <w:color w:val="000000"/>
                <w:sz w:val="24"/>
                <w:szCs w:val="24"/>
              </w:rPr>
            </w:pPr>
            <w:r w:rsidRPr="00A52FA8">
              <w:rPr>
                <w:b/>
                <w:sz w:val="22"/>
                <w:szCs w:val="22"/>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A52FA8">
              <w:rPr>
                <w:sz w:val="22"/>
                <w:szCs w:val="22"/>
              </w:rPr>
              <w:t xml:space="preserve">: </w:t>
            </w:r>
            <w:r w:rsidR="00C52A1B" w:rsidRPr="00A52FA8">
              <w:rPr>
                <w:sz w:val="22"/>
                <w:szCs w:val="22"/>
              </w:rPr>
              <w:t>0</w:t>
            </w:r>
            <w:r w:rsidR="00ED3270" w:rsidRPr="00A52FA8">
              <w:rPr>
                <w:sz w:val="22"/>
                <w:szCs w:val="22"/>
              </w:rPr>
              <w:t xml:space="preserve"> голосующих акций</w:t>
            </w:r>
            <w:r w:rsidRPr="00A52FA8">
              <w:rPr>
                <w:sz w:val="22"/>
                <w:szCs w:val="22"/>
              </w:rPr>
              <w:t xml:space="preserve"> </w:t>
            </w:r>
            <w:r w:rsidR="00ED3270" w:rsidRPr="00A52FA8">
              <w:rPr>
                <w:sz w:val="22"/>
                <w:szCs w:val="22"/>
              </w:rPr>
              <w:t>(</w:t>
            </w:r>
            <w:r w:rsidR="00C52A1B" w:rsidRPr="00A52FA8">
              <w:rPr>
                <w:sz w:val="22"/>
                <w:szCs w:val="22"/>
              </w:rPr>
              <w:t>0</w:t>
            </w:r>
            <w:r w:rsidRPr="00A52FA8">
              <w:rPr>
                <w:sz w:val="22"/>
                <w:szCs w:val="22"/>
              </w:rPr>
              <w:t xml:space="preserve"> %</w:t>
            </w:r>
            <w:r w:rsidR="00ED3270" w:rsidRPr="00A52FA8">
              <w:rPr>
                <w:sz w:val="22"/>
                <w:szCs w:val="22"/>
              </w:rPr>
              <w:t>)</w:t>
            </w:r>
            <w:r w:rsidRPr="00A52FA8">
              <w:rPr>
                <w:sz w:val="22"/>
                <w:szCs w:val="22"/>
              </w:rPr>
              <w:t xml:space="preserve">. </w:t>
            </w:r>
            <w:r w:rsidRPr="00A52FA8">
              <w:rPr>
                <w:sz w:val="22"/>
                <w:szCs w:val="22"/>
              </w:rPr>
              <w:br/>
            </w:r>
            <w:r w:rsidRPr="00A52FA8">
              <w:rPr>
                <w:b/>
                <w:sz w:val="22"/>
                <w:szCs w:val="22"/>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Pr="00A52FA8">
              <w:rPr>
                <w:sz w:val="22"/>
                <w:szCs w:val="22"/>
              </w:rPr>
              <w:t xml:space="preserve"> </w:t>
            </w:r>
            <w:r w:rsidR="009931CC" w:rsidRPr="00A52FA8">
              <w:rPr>
                <w:sz w:val="22"/>
                <w:szCs w:val="22"/>
              </w:rPr>
              <w:t>2 155 466 093</w:t>
            </w:r>
            <w:r w:rsidR="00C52A1B" w:rsidRPr="00A52FA8">
              <w:rPr>
                <w:sz w:val="22"/>
                <w:szCs w:val="22"/>
              </w:rPr>
              <w:t xml:space="preserve"> штук</w:t>
            </w:r>
            <w:r w:rsidR="00A52FA8" w:rsidRPr="00A52FA8">
              <w:rPr>
                <w:sz w:val="22"/>
                <w:szCs w:val="22"/>
              </w:rPr>
              <w:t>и</w:t>
            </w:r>
            <w:r w:rsidR="00C52A1B" w:rsidRPr="00A52FA8">
              <w:rPr>
                <w:sz w:val="22"/>
                <w:szCs w:val="22"/>
              </w:rPr>
              <w:t xml:space="preserve"> обыкновенных</w:t>
            </w:r>
            <w:r w:rsidRPr="00A52FA8">
              <w:rPr>
                <w:sz w:val="22"/>
                <w:szCs w:val="22"/>
              </w:rPr>
              <w:t xml:space="preserve"> акций</w:t>
            </w:r>
            <w:r w:rsidR="00B36AAA" w:rsidRPr="00A52FA8">
              <w:rPr>
                <w:sz w:val="22"/>
                <w:szCs w:val="22"/>
              </w:rPr>
              <w:t>, 10 402 779 штук привилегированных акций</w:t>
            </w:r>
            <w:r w:rsidR="00E9262A" w:rsidRPr="00A52FA8">
              <w:rPr>
                <w:sz w:val="22"/>
                <w:szCs w:val="22"/>
              </w:rPr>
              <w:t>.</w:t>
            </w:r>
            <w:r w:rsidRPr="00A52FA8">
              <w:rPr>
                <w:sz w:val="22"/>
                <w:szCs w:val="22"/>
              </w:rPr>
              <w:br/>
            </w:r>
            <w:r w:rsidRPr="00A52FA8">
              <w:rPr>
                <w:b/>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9931CC" w:rsidRPr="00A52FA8">
              <w:rPr>
                <w:sz w:val="22"/>
                <w:szCs w:val="22"/>
              </w:rPr>
              <w:t>06 сентября 2016 г.</w:t>
            </w:r>
          </w:p>
        </w:tc>
      </w:tr>
      <w:tr w:rsidR="00622BB8" w:rsidRPr="005050C9" w:rsidTr="00A52FA8">
        <w:trPr>
          <w:gridAfter w:val="1"/>
          <w:wAfter w:w="28" w:type="dxa"/>
          <w:trHeight w:val="173"/>
        </w:trPr>
        <w:tc>
          <w:tcPr>
            <w:tcW w:w="10348" w:type="dxa"/>
            <w:gridSpan w:val="8"/>
          </w:tcPr>
          <w:p w:rsidR="00622BB8" w:rsidRPr="00975521" w:rsidRDefault="00622BB8" w:rsidP="00FD09FF">
            <w:pPr>
              <w:jc w:val="center"/>
              <w:rPr>
                <w:sz w:val="24"/>
                <w:szCs w:val="28"/>
              </w:rPr>
            </w:pPr>
            <w:r w:rsidRPr="00975521">
              <w:rPr>
                <w:sz w:val="24"/>
                <w:szCs w:val="28"/>
              </w:rPr>
              <w:t>3. Подписи</w:t>
            </w:r>
          </w:p>
        </w:tc>
      </w:tr>
      <w:tr w:rsidR="00597284" w:rsidRPr="005050C9" w:rsidTr="00A52FA8">
        <w:trPr>
          <w:gridAfter w:val="1"/>
          <w:wAfter w:w="28" w:type="dxa"/>
          <w:cantSplit/>
          <w:trHeight w:val="872"/>
        </w:trPr>
        <w:tc>
          <w:tcPr>
            <w:tcW w:w="4645" w:type="dxa"/>
            <w:gridSpan w:val="6"/>
          </w:tcPr>
          <w:p w:rsidR="00597284" w:rsidRPr="00975521" w:rsidRDefault="009931CC" w:rsidP="009931CC">
            <w:pPr>
              <w:spacing w:before="20"/>
              <w:rPr>
                <w:sz w:val="24"/>
                <w:szCs w:val="28"/>
              </w:rPr>
            </w:pPr>
            <w:r w:rsidRPr="003C48AC">
              <w:rPr>
                <w:sz w:val="24"/>
                <w:szCs w:val="24"/>
              </w:rPr>
              <w:t>3.1</w:t>
            </w:r>
            <w:r>
              <w:rPr>
                <w:sz w:val="24"/>
                <w:szCs w:val="24"/>
              </w:rPr>
              <w:t>. И.о. генерального директора, заместитель генерального директора по кадрам и быту ПАО «Самараэнерго» (Доверенность № 510 от 19.08.2016 г.)</w:t>
            </w:r>
          </w:p>
        </w:tc>
        <w:tc>
          <w:tcPr>
            <w:tcW w:w="2046" w:type="dxa"/>
          </w:tcPr>
          <w:p w:rsidR="00597284" w:rsidRPr="00975521" w:rsidRDefault="00597284" w:rsidP="00FD09FF">
            <w:pPr>
              <w:spacing w:before="20"/>
              <w:rPr>
                <w:sz w:val="24"/>
                <w:szCs w:val="28"/>
              </w:rPr>
            </w:pPr>
          </w:p>
          <w:p w:rsidR="003C48AC" w:rsidRPr="00975521" w:rsidRDefault="003C48AC" w:rsidP="00FD09FF">
            <w:pPr>
              <w:spacing w:before="20"/>
              <w:rPr>
                <w:sz w:val="24"/>
                <w:szCs w:val="28"/>
              </w:rPr>
            </w:pPr>
          </w:p>
        </w:tc>
        <w:tc>
          <w:tcPr>
            <w:tcW w:w="3657" w:type="dxa"/>
          </w:tcPr>
          <w:p w:rsidR="00597284" w:rsidRPr="00975521" w:rsidRDefault="009931CC" w:rsidP="00455B99">
            <w:pPr>
              <w:spacing w:before="20"/>
              <w:rPr>
                <w:sz w:val="24"/>
                <w:szCs w:val="28"/>
              </w:rPr>
            </w:pPr>
            <w:r w:rsidRPr="00975521">
              <w:rPr>
                <w:sz w:val="24"/>
                <w:szCs w:val="28"/>
              </w:rPr>
              <w:t>А.</w:t>
            </w:r>
            <w:r>
              <w:rPr>
                <w:sz w:val="24"/>
                <w:szCs w:val="28"/>
              </w:rPr>
              <w:t>В.</w:t>
            </w:r>
            <w:r w:rsidRPr="00975521">
              <w:rPr>
                <w:sz w:val="24"/>
                <w:szCs w:val="28"/>
              </w:rPr>
              <w:t xml:space="preserve"> </w:t>
            </w:r>
            <w:r>
              <w:rPr>
                <w:sz w:val="24"/>
                <w:szCs w:val="28"/>
              </w:rPr>
              <w:t>Гриднев</w:t>
            </w:r>
          </w:p>
        </w:tc>
      </w:tr>
      <w:tr w:rsidR="00597284" w:rsidRPr="00975521" w:rsidTr="00975521">
        <w:trPr>
          <w:gridAfter w:val="1"/>
          <w:wAfter w:w="28" w:type="dxa"/>
          <w:cantSplit/>
          <w:trHeight w:val="410"/>
        </w:trPr>
        <w:tc>
          <w:tcPr>
            <w:tcW w:w="1418" w:type="dxa"/>
            <w:vAlign w:val="bottom"/>
          </w:tcPr>
          <w:p w:rsidR="00597284" w:rsidRPr="00975521" w:rsidRDefault="00455B99" w:rsidP="00F76464">
            <w:pPr>
              <w:ind w:left="57" w:hanging="57"/>
              <w:rPr>
                <w:sz w:val="24"/>
                <w:szCs w:val="24"/>
              </w:rPr>
            </w:pPr>
            <w:r w:rsidRPr="00975521">
              <w:rPr>
                <w:sz w:val="24"/>
                <w:szCs w:val="24"/>
              </w:rPr>
              <w:t>3.2. Дата "</w:t>
            </w:r>
          </w:p>
        </w:tc>
        <w:tc>
          <w:tcPr>
            <w:tcW w:w="425" w:type="dxa"/>
            <w:vAlign w:val="bottom"/>
          </w:tcPr>
          <w:p w:rsidR="00597284" w:rsidRPr="00975521" w:rsidRDefault="009931CC" w:rsidP="00975521">
            <w:pPr>
              <w:jc w:val="center"/>
              <w:rPr>
                <w:sz w:val="24"/>
                <w:szCs w:val="24"/>
              </w:rPr>
            </w:pPr>
            <w:r>
              <w:rPr>
                <w:sz w:val="24"/>
                <w:szCs w:val="24"/>
              </w:rPr>
              <w:t xml:space="preserve">07 </w:t>
            </w:r>
          </w:p>
        </w:tc>
        <w:tc>
          <w:tcPr>
            <w:tcW w:w="284" w:type="dxa"/>
            <w:vAlign w:val="bottom"/>
          </w:tcPr>
          <w:p w:rsidR="00597284" w:rsidRPr="00975521" w:rsidRDefault="00455B99" w:rsidP="00FD09FF">
            <w:pPr>
              <w:rPr>
                <w:sz w:val="24"/>
                <w:szCs w:val="24"/>
              </w:rPr>
            </w:pPr>
            <w:r w:rsidRPr="00975521">
              <w:rPr>
                <w:sz w:val="24"/>
                <w:szCs w:val="24"/>
              </w:rPr>
              <w:t>"</w:t>
            </w:r>
          </w:p>
        </w:tc>
        <w:tc>
          <w:tcPr>
            <w:tcW w:w="1340" w:type="dxa"/>
            <w:vAlign w:val="bottom"/>
          </w:tcPr>
          <w:p w:rsidR="00597284" w:rsidRPr="00975521" w:rsidRDefault="009931CC" w:rsidP="00486A6E">
            <w:pPr>
              <w:jc w:val="center"/>
              <w:rPr>
                <w:sz w:val="24"/>
                <w:szCs w:val="24"/>
              </w:rPr>
            </w:pPr>
            <w:r>
              <w:rPr>
                <w:sz w:val="24"/>
                <w:szCs w:val="24"/>
              </w:rPr>
              <w:t>сентября</w:t>
            </w:r>
          </w:p>
        </w:tc>
        <w:tc>
          <w:tcPr>
            <w:tcW w:w="737" w:type="dxa"/>
            <w:vAlign w:val="bottom"/>
          </w:tcPr>
          <w:p w:rsidR="00597284" w:rsidRPr="00975521" w:rsidRDefault="00597284" w:rsidP="000E0D43">
            <w:pPr>
              <w:rPr>
                <w:sz w:val="24"/>
                <w:szCs w:val="24"/>
              </w:rPr>
            </w:pPr>
            <w:r w:rsidRPr="00975521">
              <w:rPr>
                <w:sz w:val="24"/>
                <w:szCs w:val="24"/>
              </w:rPr>
              <w:t>20</w:t>
            </w:r>
            <w:r w:rsidR="00282AC5" w:rsidRPr="00975521">
              <w:rPr>
                <w:sz w:val="24"/>
                <w:szCs w:val="24"/>
              </w:rPr>
              <w:t>1</w:t>
            </w:r>
            <w:r w:rsidR="000E0D43" w:rsidRPr="00975521">
              <w:rPr>
                <w:sz w:val="24"/>
                <w:szCs w:val="24"/>
              </w:rPr>
              <w:t>6</w:t>
            </w:r>
          </w:p>
        </w:tc>
        <w:tc>
          <w:tcPr>
            <w:tcW w:w="6144" w:type="dxa"/>
            <w:gridSpan w:val="3"/>
            <w:vAlign w:val="bottom"/>
          </w:tcPr>
          <w:p w:rsidR="00597284" w:rsidRPr="00975521" w:rsidRDefault="00597284" w:rsidP="00FD09FF">
            <w:pPr>
              <w:tabs>
                <w:tab w:val="left" w:pos="1219"/>
              </w:tabs>
              <w:rPr>
                <w:sz w:val="24"/>
                <w:szCs w:val="24"/>
              </w:rPr>
            </w:pPr>
            <w:r w:rsidRPr="00975521">
              <w:rPr>
                <w:sz w:val="24"/>
                <w:szCs w:val="24"/>
              </w:rPr>
              <w:t xml:space="preserve"> г.</w:t>
            </w:r>
            <w:r w:rsidRPr="00975521">
              <w:rPr>
                <w:sz w:val="24"/>
                <w:szCs w:val="24"/>
              </w:rPr>
              <w:tab/>
            </w:r>
          </w:p>
        </w:tc>
      </w:tr>
      <w:tr w:rsidR="003C48AC" w:rsidRPr="00975521" w:rsidTr="009931CC">
        <w:trPr>
          <w:gridAfter w:val="1"/>
          <w:wAfter w:w="28" w:type="dxa"/>
          <w:cantSplit/>
          <w:trHeight w:val="281"/>
        </w:trPr>
        <w:tc>
          <w:tcPr>
            <w:tcW w:w="10348" w:type="dxa"/>
            <w:gridSpan w:val="8"/>
            <w:vAlign w:val="bottom"/>
          </w:tcPr>
          <w:p w:rsidR="003C48AC" w:rsidRPr="00975521" w:rsidRDefault="003C48AC" w:rsidP="00FD09FF">
            <w:pPr>
              <w:jc w:val="center"/>
              <w:rPr>
                <w:sz w:val="24"/>
                <w:szCs w:val="24"/>
              </w:rPr>
            </w:pPr>
            <w:r w:rsidRPr="00975521">
              <w:rPr>
                <w:sz w:val="24"/>
                <w:szCs w:val="24"/>
              </w:rPr>
              <w:t>м.п.</w:t>
            </w:r>
          </w:p>
        </w:tc>
      </w:tr>
    </w:tbl>
    <w:p w:rsidR="00622BB8" w:rsidRPr="00975521" w:rsidRDefault="00622BB8">
      <w:pPr>
        <w:rPr>
          <w:sz w:val="24"/>
          <w:szCs w:val="24"/>
        </w:rPr>
      </w:pPr>
    </w:p>
    <w:sectPr w:rsidR="00622BB8" w:rsidRPr="00975521"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44" w:rsidRDefault="00CC1E44">
      <w:r>
        <w:separator/>
      </w:r>
    </w:p>
  </w:endnote>
  <w:endnote w:type="continuationSeparator" w:id="0">
    <w:p w:rsidR="00CC1E44" w:rsidRDefault="00CC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44" w:rsidRDefault="00CC1E44">
      <w:r>
        <w:separator/>
      </w:r>
    </w:p>
  </w:footnote>
  <w:footnote w:type="continuationSeparator" w:id="0">
    <w:p w:rsidR="00CC1E44" w:rsidRDefault="00CC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C07BE"/>
    <w:rsid w:val="000E0D43"/>
    <w:rsid w:val="000E371A"/>
    <w:rsid w:val="000E6143"/>
    <w:rsid w:val="001140B7"/>
    <w:rsid w:val="001662F1"/>
    <w:rsid w:val="002058F3"/>
    <w:rsid w:val="00212E5F"/>
    <w:rsid w:val="00250A82"/>
    <w:rsid w:val="00282AC5"/>
    <w:rsid w:val="00290A1D"/>
    <w:rsid w:val="00292938"/>
    <w:rsid w:val="002C361D"/>
    <w:rsid w:val="002D1FCC"/>
    <w:rsid w:val="002F5740"/>
    <w:rsid w:val="00361CD5"/>
    <w:rsid w:val="003B77A9"/>
    <w:rsid w:val="003C36ED"/>
    <w:rsid w:val="003C48AC"/>
    <w:rsid w:val="003D0766"/>
    <w:rsid w:val="003E32E4"/>
    <w:rsid w:val="004159A8"/>
    <w:rsid w:val="004507FF"/>
    <w:rsid w:val="00455B99"/>
    <w:rsid w:val="00464D0F"/>
    <w:rsid w:val="00485318"/>
    <w:rsid w:val="00486A6E"/>
    <w:rsid w:val="00494D34"/>
    <w:rsid w:val="00497949"/>
    <w:rsid w:val="004C49C4"/>
    <w:rsid w:val="004D2CB3"/>
    <w:rsid w:val="004D6C75"/>
    <w:rsid w:val="005050C9"/>
    <w:rsid w:val="00514EA3"/>
    <w:rsid w:val="00515FEB"/>
    <w:rsid w:val="00564B08"/>
    <w:rsid w:val="0056543B"/>
    <w:rsid w:val="00586C36"/>
    <w:rsid w:val="005906FD"/>
    <w:rsid w:val="00597284"/>
    <w:rsid w:val="005D30C5"/>
    <w:rsid w:val="005E11C4"/>
    <w:rsid w:val="005E21F4"/>
    <w:rsid w:val="00622BB8"/>
    <w:rsid w:val="0063740E"/>
    <w:rsid w:val="0065534E"/>
    <w:rsid w:val="006B2045"/>
    <w:rsid w:val="006C0BDA"/>
    <w:rsid w:val="006D63A5"/>
    <w:rsid w:val="00706A4D"/>
    <w:rsid w:val="00711A7A"/>
    <w:rsid w:val="00741A1D"/>
    <w:rsid w:val="00794508"/>
    <w:rsid w:val="007D5743"/>
    <w:rsid w:val="007F7996"/>
    <w:rsid w:val="008132A3"/>
    <w:rsid w:val="00826F67"/>
    <w:rsid w:val="00831E34"/>
    <w:rsid w:val="008F1EA0"/>
    <w:rsid w:val="00917A69"/>
    <w:rsid w:val="00953CE6"/>
    <w:rsid w:val="00953DC3"/>
    <w:rsid w:val="00961BB0"/>
    <w:rsid w:val="00972E84"/>
    <w:rsid w:val="00975521"/>
    <w:rsid w:val="009834AF"/>
    <w:rsid w:val="009931CC"/>
    <w:rsid w:val="00996E02"/>
    <w:rsid w:val="009D4D32"/>
    <w:rsid w:val="009D603E"/>
    <w:rsid w:val="00A005D7"/>
    <w:rsid w:val="00A13C5C"/>
    <w:rsid w:val="00A1647C"/>
    <w:rsid w:val="00A16EA9"/>
    <w:rsid w:val="00A247BB"/>
    <w:rsid w:val="00A25185"/>
    <w:rsid w:val="00A450D3"/>
    <w:rsid w:val="00A52FA8"/>
    <w:rsid w:val="00A55EC7"/>
    <w:rsid w:val="00A66FB4"/>
    <w:rsid w:val="00A74FB5"/>
    <w:rsid w:val="00A93B06"/>
    <w:rsid w:val="00AB3CFB"/>
    <w:rsid w:val="00AD3C20"/>
    <w:rsid w:val="00AF2B55"/>
    <w:rsid w:val="00AF704D"/>
    <w:rsid w:val="00B2565D"/>
    <w:rsid w:val="00B36AAA"/>
    <w:rsid w:val="00B42CE2"/>
    <w:rsid w:val="00B82ABC"/>
    <w:rsid w:val="00BC4175"/>
    <w:rsid w:val="00BE3D8E"/>
    <w:rsid w:val="00BF0223"/>
    <w:rsid w:val="00C33EFC"/>
    <w:rsid w:val="00C371B8"/>
    <w:rsid w:val="00C51E97"/>
    <w:rsid w:val="00C52A1B"/>
    <w:rsid w:val="00CB38A5"/>
    <w:rsid w:val="00CC1E44"/>
    <w:rsid w:val="00D132C2"/>
    <w:rsid w:val="00D37414"/>
    <w:rsid w:val="00E131A9"/>
    <w:rsid w:val="00E25566"/>
    <w:rsid w:val="00E9262A"/>
    <w:rsid w:val="00EB1E3B"/>
    <w:rsid w:val="00EC65AC"/>
    <w:rsid w:val="00EC7B9F"/>
    <w:rsid w:val="00ED3270"/>
    <w:rsid w:val="00EF0466"/>
    <w:rsid w:val="00F018D0"/>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6</cp:revision>
  <cp:lastPrinted>2016-09-07T09:10:00Z</cp:lastPrinted>
  <dcterms:created xsi:type="dcterms:W3CDTF">2016-08-09T07:18:00Z</dcterms:created>
  <dcterms:modified xsi:type="dcterms:W3CDTF">2016-09-07T09:11:00Z</dcterms:modified>
</cp:coreProperties>
</file>